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4187D" w14:textId="77777777" w:rsidR="007875CD" w:rsidRDefault="007875CD" w:rsidP="007875CD">
      <w:pPr>
        <w:pStyle w:val="Heading2"/>
        <w:spacing w:line="312" w:lineRule="auto"/>
        <w:ind w:left="426"/>
        <w:jc w:val="right"/>
        <w:rPr>
          <w:rFonts w:ascii="Verdana" w:hAnsi="Verdana"/>
        </w:rPr>
      </w:pPr>
      <w:r>
        <w:rPr>
          <w:rFonts w:ascii="Verdana" w:hAnsi="Verdana"/>
          <w:b/>
          <w:noProof/>
        </w:rPr>
        <w:drawing>
          <wp:inline distT="0" distB="0" distL="0" distR="0" wp14:anchorId="09C9075E" wp14:editId="002C5A3F">
            <wp:extent cx="2115682" cy="861060"/>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7241" cy="861695"/>
                    </a:xfrm>
                    <a:prstGeom prst="rect">
                      <a:avLst/>
                    </a:prstGeom>
                    <a:noFill/>
                    <a:ln>
                      <a:noFill/>
                    </a:ln>
                  </pic:spPr>
                </pic:pic>
              </a:graphicData>
            </a:graphic>
          </wp:inline>
        </w:drawing>
      </w:r>
    </w:p>
    <w:p w14:paraId="76DC5B55" w14:textId="0DAF67CC" w:rsidR="007875CD" w:rsidRDefault="007875CD" w:rsidP="007875CD">
      <w:pPr>
        <w:autoSpaceDE w:val="0"/>
        <w:autoSpaceDN w:val="0"/>
        <w:adjustRightInd w:val="0"/>
        <w:spacing w:line="312" w:lineRule="auto"/>
        <w:ind w:left="567"/>
        <w:rPr>
          <w:rFonts w:ascii="Verdana" w:hAnsi="Verdana" w:cs="Helvetica"/>
          <w:sz w:val="20"/>
          <w:lang w:eastAsia="en-GB"/>
        </w:rPr>
      </w:pPr>
      <w:r>
        <w:rPr>
          <w:rFonts w:ascii="Calibri" w:hAnsi="Calibri" w:cs="Calibri"/>
          <w:color w:val="000000"/>
          <w:szCs w:val="22"/>
          <w:shd w:val="clear" w:color="auto" w:fill="FFFFFF"/>
        </w:rPr>
        <w:br/>
      </w:r>
    </w:p>
    <w:p w14:paraId="7EA8C9AE" w14:textId="77777777" w:rsidR="007875CD" w:rsidRPr="009F5BD6" w:rsidRDefault="007875CD" w:rsidP="007875CD">
      <w:pPr>
        <w:autoSpaceDE w:val="0"/>
        <w:autoSpaceDN w:val="0"/>
        <w:adjustRightInd w:val="0"/>
        <w:spacing w:line="312" w:lineRule="auto"/>
        <w:ind w:left="567"/>
        <w:rPr>
          <w:rFonts w:ascii="Verdana" w:hAnsi="Verdana" w:cs="Helvetica"/>
          <w:b/>
          <w:sz w:val="24"/>
          <w:szCs w:val="24"/>
          <w:lang w:eastAsia="en-GB"/>
        </w:rPr>
      </w:pPr>
      <w:r w:rsidRPr="009F5BD6">
        <w:rPr>
          <w:rFonts w:ascii="Verdana" w:hAnsi="Verdana" w:cs="Helvetica"/>
          <w:b/>
          <w:sz w:val="24"/>
          <w:szCs w:val="24"/>
          <w:lang w:eastAsia="en-GB"/>
        </w:rPr>
        <w:t xml:space="preserve">SEARCH </w:t>
      </w:r>
      <w:r>
        <w:rPr>
          <w:rFonts w:ascii="Verdana" w:hAnsi="Verdana" w:cs="Helvetica"/>
          <w:b/>
          <w:sz w:val="24"/>
          <w:szCs w:val="24"/>
          <w:lang w:eastAsia="en-GB"/>
        </w:rPr>
        <w:t xml:space="preserve">&amp; GOVERNANCE </w:t>
      </w:r>
      <w:r w:rsidRPr="009F5BD6">
        <w:rPr>
          <w:rFonts w:ascii="Verdana" w:hAnsi="Verdana" w:cs="Helvetica"/>
          <w:b/>
          <w:sz w:val="24"/>
          <w:szCs w:val="24"/>
          <w:lang w:eastAsia="en-GB"/>
        </w:rPr>
        <w:t>COMMITTEE REPORT</w:t>
      </w:r>
      <w:r>
        <w:rPr>
          <w:rFonts w:ascii="Verdana" w:hAnsi="Verdana" w:cs="Helvetica"/>
          <w:b/>
          <w:sz w:val="24"/>
          <w:szCs w:val="24"/>
          <w:lang w:eastAsia="en-GB"/>
        </w:rPr>
        <w:t xml:space="preserve"> 2023-2024</w:t>
      </w:r>
    </w:p>
    <w:p w14:paraId="2C4E1784" w14:textId="77777777" w:rsidR="007875CD" w:rsidRDefault="007875CD" w:rsidP="007875CD">
      <w:pPr>
        <w:autoSpaceDE w:val="0"/>
        <w:autoSpaceDN w:val="0"/>
        <w:adjustRightInd w:val="0"/>
        <w:spacing w:line="312" w:lineRule="auto"/>
        <w:ind w:left="567"/>
        <w:rPr>
          <w:rFonts w:ascii="Verdana" w:hAnsi="Verdana" w:cs="Helvetica"/>
          <w:b/>
          <w:sz w:val="20"/>
          <w:lang w:eastAsia="en-GB"/>
        </w:rPr>
      </w:pPr>
    </w:p>
    <w:p w14:paraId="4AE8EDCE" w14:textId="77777777" w:rsidR="007875CD" w:rsidRPr="00431CE6" w:rsidRDefault="007875CD" w:rsidP="007875CD">
      <w:pPr>
        <w:tabs>
          <w:tab w:val="left" w:pos="567"/>
        </w:tabs>
        <w:autoSpaceDE w:val="0"/>
        <w:autoSpaceDN w:val="0"/>
        <w:adjustRightInd w:val="0"/>
        <w:spacing w:line="312" w:lineRule="auto"/>
        <w:ind w:left="567"/>
        <w:rPr>
          <w:rFonts w:ascii="Verdana" w:hAnsi="Verdana" w:cs="Helvetica"/>
          <w:sz w:val="20"/>
          <w:lang w:eastAsia="en-GB"/>
        </w:rPr>
      </w:pPr>
      <w:r w:rsidRPr="00431CE6">
        <w:rPr>
          <w:rFonts w:ascii="Verdana" w:hAnsi="Verdana" w:cs="Helvetica"/>
          <w:sz w:val="20"/>
          <w:lang w:eastAsia="en-GB"/>
        </w:rPr>
        <w:t>The purpose of the Committee is to advise the Corporation on the appointment,</w:t>
      </w:r>
    </w:p>
    <w:p w14:paraId="64F7E348" w14:textId="77777777" w:rsidR="007875CD" w:rsidRDefault="007875CD" w:rsidP="007875CD">
      <w:pPr>
        <w:tabs>
          <w:tab w:val="left" w:pos="567"/>
        </w:tabs>
        <w:autoSpaceDE w:val="0"/>
        <w:autoSpaceDN w:val="0"/>
        <w:adjustRightInd w:val="0"/>
        <w:spacing w:line="312" w:lineRule="auto"/>
        <w:ind w:left="567"/>
        <w:rPr>
          <w:rFonts w:ascii="Verdana" w:hAnsi="Verdana" w:cs="Helvetica"/>
          <w:sz w:val="20"/>
          <w:lang w:eastAsia="en-GB"/>
        </w:rPr>
      </w:pPr>
      <w:r>
        <w:rPr>
          <w:rFonts w:ascii="Verdana" w:hAnsi="Verdana" w:cs="Helvetica"/>
          <w:sz w:val="20"/>
          <w:lang w:eastAsia="en-GB"/>
        </w:rPr>
        <w:t>r</w:t>
      </w:r>
      <w:r w:rsidRPr="00431CE6">
        <w:rPr>
          <w:rFonts w:ascii="Verdana" w:hAnsi="Verdana" w:cs="Helvetica"/>
          <w:sz w:val="20"/>
          <w:lang w:eastAsia="en-GB"/>
        </w:rPr>
        <w:t>e-appointment</w:t>
      </w:r>
      <w:r>
        <w:rPr>
          <w:rFonts w:ascii="Verdana" w:hAnsi="Verdana" w:cs="Helvetica"/>
          <w:sz w:val="20"/>
          <w:lang w:eastAsia="en-GB"/>
        </w:rPr>
        <w:t>,</w:t>
      </w:r>
      <w:r w:rsidRPr="00431CE6">
        <w:rPr>
          <w:rFonts w:ascii="Verdana" w:hAnsi="Verdana" w:cs="Helvetica"/>
          <w:sz w:val="20"/>
          <w:lang w:eastAsia="en-GB"/>
        </w:rPr>
        <w:t xml:space="preserve"> and development of governors; and to consider all aspects of good corporate governance</w:t>
      </w:r>
      <w:r>
        <w:rPr>
          <w:rFonts w:ascii="Verdana" w:hAnsi="Verdana" w:cs="Helvetica"/>
          <w:sz w:val="20"/>
          <w:lang w:eastAsia="en-GB"/>
        </w:rPr>
        <w:t xml:space="preserve">.  </w:t>
      </w:r>
      <w:r w:rsidRPr="00431CE6">
        <w:rPr>
          <w:rFonts w:ascii="Verdana" w:hAnsi="Verdana" w:cs="Helvetica"/>
          <w:sz w:val="20"/>
          <w:lang w:eastAsia="en-GB"/>
        </w:rPr>
        <w:t>The Committee’s princip</w:t>
      </w:r>
      <w:r>
        <w:rPr>
          <w:rFonts w:ascii="Verdana" w:hAnsi="Verdana" w:cs="Helvetica"/>
          <w:sz w:val="20"/>
          <w:lang w:eastAsia="en-GB"/>
        </w:rPr>
        <w:t>le</w:t>
      </w:r>
      <w:r w:rsidRPr="00431CE6">
        <w:rPr>
          <w:rFonts w:ascii="Verdana" w:hAnsi="Verdana" w:cs="Helvetica"/>
          <w:sz w:val="20"/>
          <w:lang w:eastAsia="en-GB"/>
        </w:rPr>
        <w:t xml:space="preserve"> </w:t>
      </w:r>
      <w:proofErr w:type="gramStart"/>
      <w:r w:rsidRPr="00431CE6">
        <w:rPr>
          <w:rFonts w:ascii="Verdana" w:hAnsi="Verdana" w:cs="Helvetica"/>
          <w:sz w:val="20"/>
          <w:lang w:eastAsia="en-GB"/>
        </w:rPr>
        <w:t>responsibility</w:t>
      </w:r>
      <w:proofErr w:type="gramEnd"/>
      <w:r w:rsidRPr="00431CE6">
        <w:rPr>
          <w:rFonts w:ascii="Verdana" w:hAnsi="Verdana" w:cs="Helvetica"/>
          <w:sz w:val="20"/>
          <w:lang w:eastAsia="en-GB"/>
        </w:rPr>
        <w:t xml:space="preserve"> </w:t>
      </w:r>
      <w:r>
        <w:rPr>
          <w:rFonts w:ascii="Verdana" w:hAnsi="Verdana" w:cs="Helvetica"/>
          <w:sz w:val="20"/>
          <w:lang w:eastAsia="en-GB"/>
        </w:rPr>
        <w:t xml:space="preserve">therefore, </w:t>
      </w:r>
      <w:r w:rsidRPr="00431CE6">
        <w:rPr>
          <w:rFonts w:ascii="Verdana" w:hAnsi="Verdana" w:cs="Helvetica"/>
          <w:sz w:val="20"/>
          <w:lang w:eastAsia="en-GB"/>
        </w:rPr>
        <w:t>is to ensure that the Board comprises</w:t>
      </w:r>
      <w:r>
        <w:rPr>
          <w:rFonts w:ascii="Verdana" w:hAnsi="Verdana" w:cs="Helvetica"/>
          <w:sz w:val="20"/>
          <w:lang w:eastAsia="en-GB"/>
        </w:rPr>
        <w:t xml:space="preserve"> of</w:t>
      </w:r>
      <w:r w:rsidRPr="00431CE6">
        <w:rPr>
          <w:rFonts w:ascii="Verdana" w:hAnsi="Verdana" w:cs="Helvetica"/>
          <w:sz w:val="20"/>
          <w:lang w:eastAsia="en-GB"/>
        </w:rPr>
        <w:t xml:space="preserve"> individuals with the most appropriate balance of experience, skills and knowledge to help develop and support the College strategy.  </w:t>
      </w:r>
      <w:proofErr w:type="gramStart"/>
      <w:r w:rsidRPr="00BB21EE">
        <w:rPr>
          <w:rFonts w:ascii="Verdana" w:hAnsi="Verdana" w:cs="Helvetica"/>
          <w:sz w:val="20"/>
          <w:lang w:eastAsia="en-GB"/>
        </w:rPr>
        <w:t>In order to</w:t>
      </w:r>
      <w:proofErr w:type="gramEnd"/>
      <w:r w:rsidRPr="00BB21EE">
        <w:rPr>
          <w:rFonts w:ascii="Verdana" w:hAnsi="Verdana" w:cs="Helvetica"/>
          <w:sz w:val="20"/>
          <w:lang w:eastAsia="en-GB"/>
        </w:rPr>
        <w:t xml:space="preserve"> achieve this, the Committee requires procedures to be in place that enable the nomination, selection and succession of the most capable governors and senior executives. The Committee is also responsible for undertaking a governance self-assessment and other governance matters</w:t>
      </w:r>
      <w:r>
        <w:rPr>
          <w:rFonts w:ascii="Verdana" w:hAnsi="Verdana" w:cs="Helvetica"/>
          <w:sz w:val="20"/>
          <w:lang w:eastAsia="en-GB"/>
        </w:rPr>
        <w:t xml:space="preserve"> as described below</w:t>
      </w:r>
      <w:r w:rsidRPr="00BB21EE">
        <w:rPr>
          <w:rFonts w:ascii="Verdana" w:hAnsi="Verdana" w:cs="Helvetica"/>
          <w:sz w:val="20"/>
          <w:lang w:eastAsia="en-GB"/>
        </w:rPr>
        <w:t>; in this sense the Search Committee undertakes a broader role than simply appointments.</w:t>
      </w:r>
    </w:p>
    <w:p w14:paraId="14D72D22" w14:textId="77777777" w:rsidR="007875CD" w:rsidRDefault="007875CD" w:rsidP="007875CD">
      <w:pPr>
        <w:autoSpaceDE w:val="0"/>
        <w:autoSpaceDN w:val="0"/>
        <w:adjustRightInd w:val="0"/>
        <w:spacing w:line="312" w:lineRule="auto"/>
        <w:ind w:left="567"/>
        <w:rPr>
          <w:rFonts w:ascii="Verdana" w:hAnsi="Verdana" w:cs="Helvetica"/>
          <w:b/>
          <w:sz w:val="20"/>
          <w:lang w:eastAsia="en-GB"/>
        </w:rPr>
      </w:pPr>
    </w:p>
    <w:p w14:paraId="1DEB1B04"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
          <w:bCs/>
          <w:sz w:val="20"/>
          <w:u w:val="single"/>
          <w:lang w:eastAsia="en-GB"/>
        </w:rPr>
      </w:pPr>
      <w:r w:rsidRPr="00431CE6">
        <w:rPr>
          <w:rFonts w:ascii="Verdana" w:hAnsi="Verdana" w:cs="Helvetica-Bold"/>
          <w:b/>
          <w:bCs/>
          <w:sz w:val="20"/>
          <w:u w:val="single"/>
          <w:lang w:eastAsia="en-GB"/>
        </w:rPr>
        <w:t>Role and responsibilities of the Committee:</w:t>
      </w:r>
    </w:p>
    <w:p w14:paraId="5F781BA1"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1DC8CBA7"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To recommend candidates for re/approval by the Corporation in accordance with the current Instrument and Articles of Government and after following the approved procedure for the re/appointment of Governors.</w:t>
      </w:r>
    </w:p>
    <w:p w14:paraId="3B39892E"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29507670"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Monitor and evaluate the success of individual Member appointments and advising the Corporation on the suitability of Members for re-appointment, acknowledging the value of refreshing its membership.</w:t>
      </w:r>
    </w:p>
    <w:p w14:paraId="0EDC8088"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C3B8CB7"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Determine or advise on such matters relating to membership and good governance as the Corporation may delegate to the Committee.</w:t>
      </w:r>
    </w:p>
    <w:p w14:paraId="539221DE"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282A363D"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 xml:space="preserve">Monitor the diversity profile of Corporation Members </w:t>
      </w:r>
      <w:proofErr w:type="gramStart"/>
      <w:r w:rsidRPr="00431CE6">
        <w:rPr>
          <w:rFonts w:ascii="Verdana" w:hAnsi="Verdana" w:cs="Helvetica-Bold"/>
          <w:bCs/>
          <w:sz w:val="20"/>
          <w:lang w:eastAsia="en-GB"/>
        </w:rPr>
        <w:t>and,</w:t>
      </w:r>
      <w:proofErr w:type="gramEnd"/>
      <w:r w:rsidRPr="00431CE6">
        <w:rPr>
          <w:rFonts w:ascii="Verdana" w:hAnsi="Verdana" w:cs="Helvetica-Bold"/>
          <w:bCs/>
          <w:sz w:val="20"/>
          <w:lang w:eastAsia="en-GB"/>
        </w:rPr>
        <w:t xml:space="preserve"> having due regard for</w:t>
      </w:r>
      <w:r>
        <w:rPr>
          <w:rFonts w:ascii="Verdana" w:hAnsi="Verdana" w:cs="Helvetica-Bold"/>
          <w:bCs/>
          <w:sz w:val="20"/>
          <w:lang w:eastAsia="en-GB"/>
        </w:rPr>
        <w:t xml:space="preserve"> </w:t>
      </w:r>
      <w:r w:rsidRPr="00431CE6">
        <w:rPr>
          <w:rFonts w:ascii="Verdana" w:hAnsi="Verdana" w:cs="Helvetica-Bold"/>
          <w:bCs/>
          <w:sz w:val="20"/>
          <w:lang w:eastAsia="en-GB"/>
        </w:rPr>
        <w:t>the benefits of a diversity in membership, making recommendations regarding</w:t>
      </w:r>
      <w:r>
        <w:rPr>
          <w:rFonts w:ascii="Verdana" w:hAnsi="Verdana" w:cs="Helvetica-Bold"/>
          <w:bCs/>
          <w:sz w:val="20"/>
          <w:lang w:eastAsia="en-GB"/>
        </w:rPr>
        <w:t xml:space="preserve"> </w:t>
      </w:r>
      <w:r w:rsidRPr="00431CE6">
        <w:rPr>
          <w:rFonts w:ascii="Verdana" w:hAnsi="Verdana" w:cs="Helvetica-Bold"/>
          <w:bCs/>
          <w:sz w:val="20"/>
          <w:lang w:eastAsia="en-GB"/>
        </w:rPr>
        <w:t>appointments to remedy any under-representation when appropriate. The Committee shall have regard to the College’s obligations under all aspects of discrimination legislation.</w:t>
      </w:r>
    </w:p>
    <w:p w14:paraId="766F8DE9"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0A415FD"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Advise the Corporation on the balance of skills, experience and knowledge</w:t>
      </w:r>
      <w:r>
        <w:rPr>
          <w:rFonts w:ascii="Verdana" w:hAnsi="Verdana" w:cs="Helvetica-Bold"/>
          <w:bCs/>
          <w:sz w:val="20"/>
          <w:lang w:eastAsia="en-GB"/>
        </w:rPr>
        <w:t xml:space="preserve"> </w:t>
      </w:r>
      <w:r w:rsidRPr="00431CE6">
        <w:rPr>
          <w:rFonts w:ascii="Verdana" w:hAnsi="Verdana" w:cs="Helvetica-Bold"/>
          <w:bCs/>
          <w:sz w:val="20"/>
          <w:lang w:eastAsia="en-GB"/>
        </w:rPr>
        <w:t xml:space="preserve">appropriate to its strategic objectives, carrying out regular skills audit to identify any gaps in the profile adopted by the Corporation and developing </w:t>
      </w:r>
      <w:r w:rsidRPr="00431CE6">
        <w:rPr>
          <w:rFonts w:ascii="Verdana" w:hAnsi="Verdana" w:cs="Helvetica-Bold"/>
          <w:bCs/>
          <w:sz w:val="20"/>
          <w:lang w:eastAsia="en-GB"/>
        </w:rPr>
        <w:lastRenderedPageBreak/>
        <w:t>strategies to address any deficiencies</w:t>
      </w:r>
      <w:r>
        <w:rPr>
          <w:rFonts w:ascii="Verdana" w:hAnsi="Verdana" w:cs="Helvetica-Bold"/>
          <w:bCs/>
          <w:sz w:val="20"/>
          <w:lang w:eastAsia="en-GB"/>
        </w:rPr>
        <w:t xml:space="preserve"> </w:t>
      </w:r>
      <w:r w:rsidRPr="00431CE6">
        <w:rPr>
          <w:rFonts w:ascii="Verdana" w:hAnsi="Verdana" w:cs="Helvetica-Bold"/>
          <w:bCs/>
          <w:sz w:val="20"/>
          <w:lang w:eastAsia="en-GB"/>
        </w:rPr>
        <w:t>and for succession planning for the office of Chair and other offices held by governors</w:t>
      </w:r>
    </w:p>
    <w:p w14:paraId="21EC4595"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0036213A"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To approve policies and procedures for the induction and continuing professional development of Members.</w:t>
      </w:r>
    </w:p>
    <w:p w14:paraId="37A5551C"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5CBEDF00"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Reviewing the Standing Orders of the Corporation and its committee structure and make recommendations to the Corporation on any aspects of its corporate governance; and addressing issues relating to good governance and considering the approval of governance related policies and procedures.</w:t>
      </w:r>
    </w:p>
    <w:p w14:paraId="217DE456"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75AD68D7"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Undertaking any special/specific projects which the Corporation may delegate to the Committee and review the programme for the governor training and development.</w:t>
      </w:r>
    </w:p>
    <w:p w14:paraId="189C09C0"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52ED827" w14:textId="77777777" w:rsidR="007875CD" w:rsidRPr="00431CE6"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To review its terms of reference biennially.</w:t>
      </w:r>
    </w:p>
    <w:p w14:paraId="61271BFE"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469D895" w14:textId="77777777" w:rsidR="007875CD" w:rsidRDefault="007875CD" w:rsidP="007875CD">
      <w:pPr>
        <w:numPr>
          <w:ilvl w:val="0"/>
          <w:numId w:val="1"/>
        </w:numPr>
        <w:tabs>
          <w:tab w:val="left" w:pos="1134"/>
        </w:tabs>
        <w:autoSpaceDE w:val="0"/>
        <w:autoSpaceDN w:val="0"/>
        <w:adjustRightInd w:val="0"/>
        <w:spacing w:line="312" w:lineRule="auto"/>
        <w:rPr>
          <w:rFonts w:ascii="Verdana" w:hAnsi="Verdana" w:cs="Helvetica-Bold"/>
          <w:bCs/>
          <w:sz w:val="20"/>
          <w:lang w:eastAsia="en-GB"/>
        </w:rPr>
      </w:pPr>
      <w:r w:rsidRPr="00431CE6">
        <w:rPr>
          <w:rFonts w:ascii="Verdana" w:hAnsi="Verdana" w:cs="Helvetica-Bold"/>
          <w:bCs/>
          <w:sz w:val="20"/>
          <w:lang w:eastAsia="en-GB"/>
        </w:rPr>
        <w:t>To produce an annual report describing the work of the committee, including the board’s recruitment policy and practices, a description of its policy on equality and diversity and any measurable objectives that it has set together with progress in their implementation.</w:t>
      </w:r>
    </w:p>
    <w:p w14:paraId="5BA6A8E4"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23AA07B9"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
          <w:bCs/>
          <w:sz w:val="20"/>
          <w:u w:val="single"/>
          <w:lang w:eastAsia="en-GB"/>
        </w:rPr>
      </w:pPr>
      <w:r>
        <w:rPr>
          <w:rFonts w:ascii="Verdana" w:hAnsi="Verdana" w:cs="Helvetica-Bold"/>
          <w:b/>
          <w:bCs/>
          <w:sz w:val="20"/>
          <w:u w:val="single"/>
          <w:lang w:eastAsia="en-GB"/>
        </w:rPr>
        <w:t xml:space="preserve">Committee </w:t>
      </w:r>
      <w:r w:rsidRPr="00431CE6">
        <w:rPr>
          <w:rFonts w:ascii="Verdana" w:hAnsi="Verdana" w:cs="Helvetica-Bold"/>
          <w:b/>
          <w:bCs/>
          <w:sz w:val="20"/>
          <w:u w:val="single"/>
          <w:lang w:eastAsia="en-GB"/>
        </w:rPr>
        <w:t>Membership and Attendance:</w:t>
      </w:r>
    </w:p>
    <w:p w14:paraId="4CF71654"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Meetings were held at Poplar and via TEAMs</w:t>
      </w:r>
    </w:p>
    <w:tbl>
      <w:tblPr>
        <w:tblW w:w="7678" w:type="dxa"/>
        <w:tblInd w:w="675" w:type="dxa"/>
        <w:tblLook w:val="04A0" w:firstRow="1" w:lastRow="0" w:firstColumn="1" w:lastColumn="0" w:noHBand="0" w:noVBand="1"/>
      </w:tblPr>
      <w:tblGrid>
        <w:gridCol w:w="1900"/>
        <w:gridCol w:w="960"/>
        <w:gridCol w:w="978"/>
        <w:gridCol w:w="960"/>
        <w:gridCol w:w="960"/>
        <w:gridCol w:w="960"/>
        <w:gridCol w:w="960"/>
      </w:tblGrid>
      <w:tr w:rsidR="007875CD" w:rsidRPr="00E66F44" w14:paraId="763E0C08" w14:textId="77777777" w:rsidTr="004C1C90">
        <w:trPr>
          <w:trHeight w:val="300"/>
        </w:trPr>
        <w:tc>
          <w:tcPr>
            <w:tcW w:w="1900" w:type="dxa"/>
            <w:tcBorders>
              <w:top w:val="single" w:sz="4" w:space="0" w:color="auto"/>
              <w:left w:val="single" w:sz="4" w:space="0" w:color="auto"/>
              <w:bottom w:val="nil"/>
              <w:right w:val="single" w:sz="4" w:space="0" w:color="auto"/>
            </w:tcBorders>
            <w:shd w:val="clear" w:color="auto" w:fill="FFFFFF"/>
            <w:noWrap/>
            <w:vAlign w:val="bottom"/>
            <w:hideMark/>
          </w:tcPr>
          <w:p w14:paraId="3E20715A"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nil"/>
            </w:tcBorders>
            <w:shd w:val="clear" w:color="auto" w:fill="FFFFFF"/>
            <w:noWrap/>
            <w:vAlign w:val="bottom"/>
            <w:hideMark/>
          </w:tcPr>
          <w:p w14:paraId="7DA9658E"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c>
          <w:tcPr>
            <w:tcW w:w="978" w:type="dxa"/>
            <w:tcBorders>
              <w:top w:val="single" w:sz="4" w:space="0" w:color="auto"/>
              <w:left w:val="nil"/>
              <w:bottom w:val="single" w:sz="4" w:space="0" w:color="auto"/>
              <w:right w:val="nil"/>
            </w:tcBorders>
            <w:shd w:val="clear" w:color="auto" w:fill="FFFFFF"/>
          </w:tcPr>
          <w:p w14:paraId="66A9ECF3" w14:textId="77777777" w:rsidR="007875CD" w:rsidRPr="00E66F44" w:rsidRDefault="007875CD" w:rsidP="004C1C90">
            <w:pPr>
              <w:rPr>
                <w:rFonts w:cs="Arial"/>
                <w:color w:val="FFFFFF"/>
                <w:sz w:val="16"/>
                <w:szCs w:val="16"/>
                <w:lang w:eastAsia="en-GB"/>
              </w:rPr>
            </w:pPr>
          </w:p>
        </w:tc>
        <w:tc>
          <w:tcPr>
            <w:tcW w:w="960" w:type="dxa"/>
            <w:tcBorders>
              <w:top w:val="single" w:sz="4" w:space="0" w:color="auto"/>
              <w:left w:val="nil"/>
              <w:bottom w:val="single" w:sz="4" w:space="0" w:color="auto"/>
              <w:right w:val="nil"/>
            </w:tcBorders>
            <w:shd w:val="clear" w:color="auto" w:fill="FFFFFF"/>
            <w:noWrap/>
            <w:vAlign w:val="bottom"/>
            <w:hideMark/>
          </w:tcPr>
          <w:p w14:paraId="1FF40391"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nil"/>
            </w:tcBorders>
            <w:shd w:val="clear" w:color="auto" w:fill="FFFFFF"/>
            <w:noWrap/>
            <w:vAlign w:val="bottom"/>
            <w:hideMark/>
          </w:tcPr>
          <w:p w14:paraId="6F398A9E"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nil"/>
            </w:tcBorders>
            <w:shd w:val="clear" w:color="auto" w:fill="FFFFFF"/>
            <w:noWrap/>
            <w:vAlign w:val="bottom"/>
            <w:hideMark/>
          </w:tcPr>
          <w:p w14:paraId="0D87D167"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c>
          <w:tcPr>
            <w:tcW w:w="960" w:type="dxa"/>
            <w:tcBorders>
              <w:top w:val="single" w:sz="4" w:space="0" w:color="auto"/>
              <w:left w:val="nil"/>
              <w:bottom w:val="single" w:sz="4" w:space="0" w:color="auto"/>
              <w:right w:val="single" w:sz="4" w:space="0" w:color="auto"/>
            </w:tcBorders>
            <w:shd w:val="clear" w:color="auto" w:fill="FFFFFF"/>
            <w:noWrap/>
            <w:vAlign w:val="bottom"/>
            <w:hideMark/>
          </w:tcPr>
          <w:p w14:paraId="2E791597"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r>
      <w:tr w:rsidR="007875CD" w:rsidRPr="00E66F44" w14:paraId="5189D2FC" w14:textId="77777777" w:rsidTr="004C1C90">
        <w:trPr>
          <w:trHeight w:val="1575"/>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4560885D" w14:textId="77777777" w:rsidR="007875CD" w:rsidRPr="00E66F44" w:rsidRDefault="007875CD" w:rsidP="004C1C90">
            <w:pPr>
              <w:rPr>
                <w:rFonts w:cs="Arial"/>
                <w:color w:val="FFFFFF"/>
                <w:sz w:val="16"/>
                <w:szCs w:val="16"/>
                <w:lang w:eastAsia="en-GB"/>
              </w:rPr>
            </w:pPr>
            <w:r w:rsidRPr="00E66F44">
              <w:rPr>
                <w:rFonts w:cs="Arial"/>
                <w:color w:val="FFFFFF"/>
                <w:sz w:val="16"/>
                <w:szCs w:val="16"/>
                <w:lang w:eastAsia="en-GB"/>
              </w:rPr>
              <w:t> </w:t>
            </w:r>
          </w:p>
        </w:tc>
        <w:tc>
          <w:tcPr>
            <w:tcW w:w="960" w:type="dxa"/>
            <w:tcBorders>
              <w:top w:val="nil"/>
              <w:left w:val="nil"/>
              <w:bottom w:val="single" w:sz="4" w:space="0" w:color="auto"/>
              <w:right w:val="single" w:sz="4" w:space="0" w:color="auto"/>
            </w:tcBorders>
            <w:shd w:val="clear" w:color="auto" w:fill="FFFFFF"/>
            <w:noWrap/>
            <w:textDirection w:val="btLr"/>
            <w:vAlign w:val="bottom"/>
          </w:tcPr>
          <w:p w14:paraId="235C428F" w14:textId="77777777" w:rsidR="007875CD" w:rsidRPr="00A02CDE" w:rsidRDefault="007875CD" w:rsidP="004C1C90">
            <w:pPr>
              <w:rPr>
                <w:rFonts w:cs="Arial"/>
                <w:b/>
                <w:bCs/>
                <w:sz w:val="16"/>
                <w:szCs w:val="16"/>
                <w:lang w:eastAsia="en-GB"/>
              </w:rPr>
            </w:pPr>
            <w:r>
              <w:rPr>
                <w:rFonts w:cs="Arial"/>
                <w:b/>
                <w:bCs/>
                <w:sz w:val="16"/>
                <w:szCs w:val="16"/>
                <w:lang w:eastAsia="en-GB"/>
              </w:rPr>
              <w:t>10.10.23</w:t>
            </w:r>
          </w:p>
        </w:tc>
        <w:tc>
          <w:tcPr>
            <w:tcW w:w="978" w:type="dxa"/>
            <w:tcBorders>
              <w:top w:val="single" w:sz="4" w:space="0" w:color="auto"/>
              <w:left w:val="nil"/>
              <w:bottom w:val="single" w:sz="4" w:space="0" w:color="auto"/>
              <w:right w:val="single" w:sz="4" w:space="0" w:color="auto"/>
            </w:tcBorders>
            <w:shd w:val="clear" w:color="auto" w:fill="FFFFFF"/>
            <w:textDirection w:val="btLr"/>
          </w:tcPr>
          <w:p w14:paraId="25723B92" w14:textId="77777777" w:rsidR="007875CD" w:rsidRPr="00A02CDE" w:rsidRDefault="007875CD" w:rsidP="004C1C90">
            <w:pPr>
              <w:rPr>
                <w:rFonts w:cs="Arial"/>
                <w:b/>
                <w:bCs/>
                <w:sz w:val="16"/>
                <w:szCs w:val="16"/>
              </w:rPr>
            </w:pPr>
          </w:p>
          <w:p w14:paraId="2A641ECA" w14:textId="77777777" w:rsidR="007875CD" w:rsidRPr="00A02CDE" w:rsidRDefault="007875CD" w:rsidP="004C1C90">
            <w:pPr>
              <w:rPr>
                <w:rFonts w:cs="Arial"/>
                <w:b/>
                <w:bCs/>
                <w:sz w:val="16"/>
                <w:szCs w:val="16"/>
              </w:rPr>
            </w:pPr>
          </w:p>
          <w:p w14:paraId="5DFE018D" w14:textId="77777777" w:rsidR="007875CD" w:rsidRPr="00A02CDE" w:rsidRDefault="007875CD" w:rsidP="004C1C90">
            <w:pPr>
              <w:rPr>
                <w:rFonts w:cs="Arial"/>
                <w:b/>
                <w:bCs/>
                <w:sz w:val="16"/>
                <w:szCs w:val="16"/>
              </w:rPr>
            </w:pPr>
          </w:p>
          <w:p w14:paraId="748E53B7" w14:textId="77777777" w:rsidR="007875CD" w:rsidRPr="00A02CDE" w:rsidRDefault="007875CD" w:rsidP="004C1C90">
            <w:pPr>
              <w:rPr>
                <w:rFonts w:cs="Arial"/>
                <w:b/>
                <w:bCs/>
                <w:sz w:val="16"/>
                <w:szCs w:val="16"/>
              </w:rPr>
            </w:pPr>
            <w:r>
              <w:rPr>
                <w:rFonts w:cs="Arial"/>
                <w:b/>
                <w:bCs/>
                <w:sz w:val="16"/>
                <w:szCs w:val="16"/>
              </w:rPr>
              <w:t>14.03.24</w:t>
            </w:r>
          </w:p>
        </w:tc>
        <w:tc>
          <w:tcPr>
            <w:tcW w:w="960" w:type="dxa"/>
            <w:tcBorders>
              <w:top w:val="nil"/>
              <w:left w:val="single" w:sz="4" w:space="0" w:color="auto"/>
              <w:bottom w:val="single" w:sz="4" w:space="0" w:color="auto"/>
              <w:right w:val="single" w:sz="4" w:space="0" w:color="auto"/>
            </w:tcBorders>
            <w:shd w:val="clear" w:color="auto" w:fill="FFFFFF"/>
            <w:noWrap/>
            <w:textDirection w:val="btLr"/>
            <w:vAlign w:val="bottom"/>
          </w:tcPr>
          <w:p w14:paraId="132E76FD" w14:textId="77777777" w:rsidR="007875CD" w:rsidRPr="00A02CDE" w:rsidRDefault="007875CD" w:rsidP="004C1C90">
            <w:pPr>
              <w:rPr>
                <w:rFonts w:cs="Arial"/>
                <w:b/>
                <w:bCs/>
                <w:sz w:val="16"/>
                <w:szCs w:val="16"/>
                <w:lang w:eastAsia="en-GB"/>
              </w:rPr>
            </w:pPr>
            <w:r>
              <w:rPr>
                <w:rFonts w:cs="Arial"/>
                <w:b/>
                <w:bCs/>
                <w:sz w:val="16"/>
                <w:szCs w:val="16"/>
                <w:lang w:eastAsia="en-GB"/>
              </w:rPr>
              <w:t>27.06.24</w:t>
            </w:r>
          </w:p>
        </w:tc>
        <w:tc>
          <w:tcPr>
            <w:tcW w:w="960" w:type="dxa"/>
            <w:tcBorders>
              <w:top w:val="nil"/>
              <w:left w:val="nil"/>
              <w:bottom w:val="single" w:sz="4" w:space="0" w:color="auto"/>
              <w:right w:val="single" w:sz="4" w:space="0" w:color="auto"/>
            </w:tcBorders>
            <w:shd w:val="clear" w:color="auto" w:fill="FFFFFF"/>
            <w:noWrap/>
            <w:textDirection w:val="btLr"/>
            <w:vAlign w:val="bottom"/>
          </w:tcPr>
          <w:p w14:paraId="789783C6" w14:textId="77777777" w:rsidR="007875CD" w:rsidRPr="00A02CDE" w:rsidRDefault="007875CD" w:rsidP="004C1C90">
            <w:pPr>
              <w:rPr>
                <w:rFonts w:cs="Arial"/>
                <w:sz w:val="16"/>
                <w:szCs w:val="16"/>
                <w:lang w:eastAsia="en-GB"/>
              </w:rPr>
            </w:pPr>
          </w:p>
        </w:tc>
        <w:tc>
          <w:tcPr>
            <w:tcW w:w="960" w:type="dxa"/>
            <w:tcBorders>
              <w:top w:val="nil"/>
              <w:left w:val="nil"/>
              <w:bottom w:val="single" w:sz="4" w:space="0" w:color="auto"/>
              <w:right w:val="single" w:sz="4" w:space="0" w:color="auto"/>
            </w:tcBorders>
            <w:shd w:val="clear" w:color="auto" w:fill="FFFFFF"/>
            <w:noWrap/>
            <w:textDirection w:val="btLr"/>
            <w:vAlign w:val="bottom"/>
            <w:hideMark/>
          </w:tcPr>
          <w:p w14:paraId="67A74826" w14:textId="77777777" w:rsidR="007875CD" w:rsidRPr="00A02CDE" w:rsidRDefault="007875CD" w:rsidP="004C1C90">
            <w:pPr>
              <w:rPr>
                <w:rFonts w:cs="Arial"/>
                <w:sz w:val="16"/>
                <w:szCs w:val="16"/>
                <w:lang w:eastAsia="en-GB"/>
              </w:rPr>
            </w:pPr>
            <w:r>
              <w:rPr>
                <w:rFonts w:cs="Arial"/>
                <w:sz w:val="16"/>
                <w:szCs w:val="16"/>
                <w:lang w:eastAsia="en-GB"/>
              </w:rPr>
              <w:t>Actual</w:t>
            </w:r>
            <w:r w:rsidRPr="00A02CDE">
              <w:rPr>
                <w:rFonts w:cs="Arial"/>
                <w:sz w:val="16"/>
                <w:szCs w:val="16"/>
                <w:lang w:eastAsia="en-GB"/>
              </w:rPr>
              <w:t xml:space="preserve"> attendance</w:t>
            </w:r>
          </w:p>
        </w:tc>
        <w:tc>
          <w:tcPr>
            <w:tcW w:w="960" w:type="dxa"/>
            <w:tcBorders>
              <w:top w:val="nil"/>
              <w:left w:val="nil"/>
              <w:bottom w:val="single" w:sz="4" w:space="0" w:color="auto"/>
              <w:right w:val="single" w:sz="4" w:space="0" w:color="auto"/>
            </w:tcBorders>
            <w:shd w:val="clear" w:color="auto" w:fill="FFFFFF"/>
            <w:noWrap/>
            <w:textDirection w:val="btLr"/>
            <w:vAlign w:val="bottom"/>
            <w:hideMark/>
          </w:tcPr>
          <w:p w14:paraId="1787D883" w14:textId="77777777" w:rsidR="007875CD" w:rsidRPr="00A02CDE" w:rsidRDefault="007875CD" w:rsidP="004C1C90">
            <w:pPr>
              <w:rPr>
                <w:rFonts w:cs="Arial"/>
                <w:sz w:val="16"/>
                <w:szCs w:val="16"/>
                <w:lang w:eastAsia="en-GB"/>
              </w:rPr>
            </w:pPr>
            <w:r w:rsidRPr="00A02CDE">
              <w:rPr>
                <w:rFonts w:cs="Arial"/>
                <w:sz w:val="16"/>
                <w:szCs w:val="16"/>
                <w:lang w:eastAsia="en-GB"/>
              </w:rPr>
              <w:t>% attendance</w:t>
            </w:r>
          </w:p>
        </w:tc>
      </w:tr>
      <w:tr w:rsidR="007875CD" w:rsidRPr="00E66F44" w14:paraId="51828F9B"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2F6FECA2" w14:textId="77777777" w:rsidR="007875CD" w:rsidRPr="00FC78AC" w:rsidRDefault="007875CD" w:rsidP="004C1C90">
            <w:pPr>
              <w:rPr>
                <w:rFonts w:cs="Arial"/>
                <w:color w:val="000000"/>
                <w:sz w:val="16"/>
                <w:szCs w:val="16"/>
                <w:lang w:eastAsia="en-GB"/>
              </w:rPr>
            </w:pPr>
            <w:r w:rsidRPr="00FC78AC">
              <w:rPr>
                <w:rFonts w:cs="Arial"/>
                <w:color w:val="000000"/>
                <w:sz w:val="16"/>
                <w:szCs w:val="16"/>
                <w:lang w:eastAsia="en-GB"/>
              </w:rPr>
              <w:t>Marilyn Hawkins</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73D5C995" w14:textId="77777777" w:rsidR="007875CD" w:rsidRPr="00A02CDE" w:rsidRDefault="007875CD" w:rsidP="004C1C90">
            <w:pPr>
              <w:rPr>
                <w:rFonts w:cs="Arial"/>
                <w:sz w:val="16"/>
                <w:szCs w:val="16"/>
                <w:lang w:eastAsia="en-GB"/>
              </w:rPr>
            </w:pPr>
            <w:r w:rsidRPr="00A02CDE">
              <w:rPr>
                <w:rFonts w:cs="Arial"/>
                <w:sz w:val="16"/>
                <w:szCs w:val="16"/>
              </w:rPr>
              <w:t>1</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bottom"/>
          </w:tcPr>
          <w:p w14:paraId="6BA344F3" w14:textId="77777777" w:rsidR="007875CD" w:rsidRPr="00A02CDE" w:rsidRDefault="007875CD" w:rsidP="004C1C90">
            <w:pP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719906CD" w14:textId="77777777" w:rsidR="007875CD" w:rsidRPr="00A02CDE" w:rsidRDefault="007875CD" w:rsidP="004C1C90">
            <w:pPr>
              <w:rPr>
                <w:rFonts w:cs="Arial"/>
                <w:sz w:val="16"/>
                <w:szCs w:val="16"/>
                <w:lang w:eastAsia="en-GB"/>
              </w:rPr>
            </w:pPr>
            <w:r w:rsidRPr="00A02CDE">
              <w:rPr>
                <w:rFonts w:cs="Arial"/>
                <w:sz w:val="16"/>
                <w:szCs w:val="16"/>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16A6CF4D" w14:textId="77777777" w:rsidR="007875CD" w:rsidRPr="00A02CDE" w:rsidRDefault="007875CD" w:rsidP="004C1C90">
            <w:pP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186B74F2" w14:textId="77777777" w:rsidR="007875CD" w:rsidRPr="00A02CDE" w:rsidRDefault="007875CD" w:rsidP="004C1C90">
            <w:pPr>
              <w:rPr>
                <w:rFonts w:cs="Arial"/>
                <w:b/>
                <w:bCs/>
                <w:sz w:val="16"/>
                <w:szCs w:val="16"/>
                <w:lang w:eastAsia="en-GB"/>
              </w:rPr>
            </w:pPr>
            <w:r>
              <w:rPr>
                <w:rFonts w:cs="Arial"/>
                <w:b/>
                <w:bCs/>
                <w:sz w:val="16"/>
                <w:szCs w:val="16"/>
              </w:rPr>
              <w:t>3/3</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6D7235B0" w14:textId="77777777" w:rsidR="007875CD" w:rsidRPr="00A02CDE" w:rsidRDefault="007875CD" w:rsidP="004C1C90">
            <w:pPr>
              <w:rPr>
                <w:rFonts w:cs="Arial"/>
                <w:b/>
                <w:bCs/>
                <w:sz w:val="16"/>
                <w:szCs w:val="16"/>
                <w:lang w:eastAsia="en-GB"/>
              </w:rPr>
            </w:pPr>
            <w:r w:rsidRPr="00A02CDE">
              <w:rPr>
                <w:rFonts w:cs="Arial"/>
                <w:b/>
                <w:bCs/>
                <w:sz w:val="16"/>
                <w:szCs w:val="16"/>
              </w:rPr>
              <w:t>100%</w:t>
            </w:r>
          </w:p>
        </w:tc>
      </w:tr>
      <w:tr w:rsidR="007875CD" w:rsidRPr="00E66F44" w14:paraId="50D21C5F"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18CC1217" w14:textId="77777777" w:rsidR="007875CD" w:rsidRPr="00FC78AC" w:rsidRDefault="007875CD" w:rsidP="004C1C90">
            <w:pPr>
              <w:rPr>
                <w:rFonts w:cs="Arial"/>
                <w:color w:val="000000"/>
                <w:sz w:val="16"/>
                <w:szCs w:val="16"/>
                <w:lang w:eastAsia="en-GB"/>
              </w:rPr>
            </w:pPr>
            <w:r w:rsidRPr="00FC78AC">
              <w:rPr>
                <w:rFonts w:cs="Arial"/>
                <w:color w:val="000000"/>
                <w:sz w:val="16"/>
                <w:szCs w:val="16"/>
                <w:lang w:eastAsia="en-GB"/>
              </w:rPr>
              <w:t>Rob Hull</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67DEBB98" w14:textId="77777777" w:rsidR="007875CD" w:rsidRPr="00A02CDE" w:rsidRDefault="007875CD" w:rsidP="004C1C90">
            <w:pPr>
              <w:rPr>
                <w:rFonts w:cs="Arial"/>
                <w:sz w:val="16"/>
                <w:szCs w:val="16"/>
                <w:lang w:eastAsia="en-GB"/>
              </w:rPr>
            </w:pPr>
            <w:r w:rsidRPr="00A02CDE">
              <w:rPr>
                <w:rFonts w:cs="Arial"/>
                <w:sz w:val="16"/>
                <w:szCs w:val="16"/>
              </w:rPr>
              <w:t>1</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bottom"/>
          </w:tcPr>
          <w:p w14:paraId="66CF9BBF" w14:textId="77777777" w:rsidR="007875CD" w:rsidRPr="00A02CDE" w:rsidRDefault="007875CD" w:rsidP="004C1C90">
            <w:pP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4596CCF2" w14:textId="77777777" w:rsidR="007875CD" w:rsidRPr="00A02CDE" w:rsidRDefault="007875CD" w:rsidP="004C1C90">
            <w:pPr>
              <w:rPr>
                <w:rFonts w:cs="Arial"/>
                <w:sz w:val="16"/>
                <w:szCs w:val="16"/>
                <w:lang w:eastAsia="en-GB"/>
              </w:rPr>
            </w:pPr>
            <w:r w:rsidRPr="00A02CDE">
              <w:rPr>
                <w:rFonts w:cs="Arial"/>
                <w:sz w:val="16"/>
                <w:szCs w:val="16"/>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45414298" w14:textId="77777777" w:rsidR="007875CD" w:rsidRPr="00A02CDE" w:rsidRDefault="007875CD" w:rsidP="004C1C90">
            <w:pP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tcPr>
          <w:p w14:paraId="73A4A386" w14:textId="77777777" w:rsidR="007875CD" w:rsidRDefault="007875CD" w:rsidP="004C1C90">
            <w:r w:rsidRPr="00F6387A">
              <w:rPr>
                <w:rFonts w:cs="Arial"/>
                <w:b/>
                <w:bCs/>
                <w:sz w:val="16"/>
                <w:szCs w:val="16"/>
              </w:rPr>
              <w:t>3/3</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0E223183" w14:textId="77777777" w:rsidR="007875CD" w:rsidRPr="00A02CDE" w:rsidRDefault="007875CD" w:rsidP="004C1C90">
            <w:pPr>
              <w:rPr>
                <w:rFonts w:cs="Arial"/>
                <w:b/>
                <w:bCs/>
                <w:sz w:val="16"/>
                <w:szCs w:val="16"/>
                <w:lang w:eastAsia="en-GB"/>
              </w:rPr>
            </w:pPr>
            <w:r w:rsidRPr="00A02CDE">
              <w:rPr>
                <w:rFonts w:cs="Arial"/>
                <w:b/>
                <w:bCs/>
                <w:sz w:val="16"/>
                <w:szCs w:val="16"/>
              </w:rPr>
              <w:t>100%</w:t>
            </w:r>
          </w:p>
        </w:tc>
      </w:tr>
      <w:tr w:rsidR="007875CD" w:rsidRPr="00E66F44" w14:paraId="3D97606D"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279741AE" w14:textId="77777777" w:rsidR="007875CD" w:rsidRPr="00FC78AC" w:rsidRDefault="007875CD" w:rsidP="004C1C90">
            <w:pPr>
              <w:rPr>
                <w:rFonts w:cs="Arial"/>
                <w:color w:val="000000"/>
                <w:sz w:val="16"/>
                <w:szCs w:val="16"/>
                <w:lang w:eastAsia="en-GB"/>
              </w:rPr>
            </w:pPr>
            <w:r w:rsidRPr="00FC78AC">
              <w:rPr>
                <w:rFonts w:cs="Arial"/>
                <w:color w:val="000000"/>
                <w:sz w:val="16"/>
                <w:szCs w:val="16"/>
                <w:lang w:eastAsia="en-GB"/>
              </w:rPr>
              <w:t>Gerry McDonald</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70BF6987" w14:textId="77777777" w:rsidR="007875CD" w:rsidRPr="00A02CDE" w:rsidRDefault="007875CD" w:rsidP="004C1C90">
            <w:pPr>
              <w:rPr>
                <w:rFonts w:cs="Arial"/>
                <w:sz w:val="16"/>
                <w:szCs w:val="16"/>
                <w:lang w:eastAsia="en-GB"/>
              </w:rPr>
            </w:pPr>
            <w:r w:rsidRPr="00A02CDE">
              <w:rPr>
                <w:rFonts w:cs="Arial"/>
                <w:sz w:val="16"/>
                <w:szCs w:val="16"/>
              </w:rPr>
              <w:t>1</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bottom"/>
          </w:tcPr>
          <w:p w14:paraId="7A405E85" w14:textId="77777777" w:rsidR="007875CD" w:rsidRPr="00A02CDE" w:rsidRDefault="007875CD" w:rsidP="004C1C90">
            <w:pP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12770589" w14:textId="77777777" w:rsidR="007875CD" w:rsidRPr="00A02CDE" w:rsidRDefault="007875CD" w:rsidP="004C1C90">
            <w:pPr>
              <w:rPr>
                <w:rFonts w:cs="Arial"/>
                <w:sz w:val="16"/>
                <w:szCs w:val="16"/>
                <w:lang w:eastAsia="en-GB"/>
              </w:rPr>
            </w:pPr>
            <w:r w:rsidRPr="00A02CDE">
              <w:rPr>
                <w:rFonts w:cs="Arial"/>
                <w:sz w:val="16"/>
                <w:szCs w:val="16"/>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7B1C1DED" w14:textId="77777777" w:rsidR="007875CD" w:rsidRPr="00A02CDE" w:rsidRDefault="007875CD" w:rsidP="004C1C90">
            <w:pP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tcPr>
          <w:p w14:paraId="00B5000B" w14:textId="77777777" w:rsidR="007875CD" w:rsidRDefault="007875CD" w:rsidP="004C1C90">
            <w:r w:rsidRPr="00F6387A">
              <w:rPr>
                <w:rFonts w:cs="Arial"/>
                <w:b/>
                <w:bCs/>
                <w:sz w:val="16"/>
                <w:szCs w:val="16"/>
              </w:rPr>
              <w:t>3/3</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3ACF4BB0" w14:textId="77777777" w:rsidR="007875CD" w:rsidRPr="00A02CDE" w:rsidRDefault="007875CD" w:rsidP="004C1C90">
            <w:pPr>
              <w:rPr>
                <w:rFonts w:cs="Arial"/>
                <w:b/>
                <w:bCs/>
                <w:sz w:val="16"/>
                <w:szCs w:val="16"/>
                <w:lang w:eastAsia="en-GB"/>
              </w:rPr>
            </w:pPr>
            <w:r>
              <w:rPr>
                <w:rFonts w:cs="Arial"/>
                <w:b/>
                <w:bCs/>
                <w:sz w:val="16"/>
                <w:szCs w:val="16"/>
              </w:rPr>
              <w:t>100</w:t>
            </w:r>
            <w:r w:rsidRPr="00A02CDE">
              <w:rPr>
                <w:rFonts w:cs="Arial"/>
                <w:b/>
                <w:bCs/>
                <w:sz w:val="16"/>
                <w:szCs w:val="16"/>
              </w:rPr>
              <w:t>%</w:t>
            </w:r>
          </w:p>
        </w:tc>
      </w:tr>
      <w:tr w:rsidR="007875CD" w:rsidRPr="00E66F44" w14:paraId="4539816C"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735B1175" w14:textId="77777777" w:rsidR="007875CD" w:rsidRPr="00FC78AC" w:rsidRDefault="007875CD" w:rsidP="004C1C90">
            <w:pPr>
              <w:rPr>
                <w:rFonts w:cs="Arial"/>
                <w:color w:val="000000"/>
                <w:sz w:val="16"/>
                <w:szCs w:val="16"/>
                <w:lang w:eastAsia="en-GB"/>
              </w:rPr>
            </w:pPr>
            <w:r w:rsidRPr="00FC78AC">
              <w:rPr>
                <w:rFonts w:cs="Arial"/>
                <w:color w:val="000000"/>
                <w:sz w:val="16"/>
                <w:szCs w:val="16"/>
                <w:lang w:eastAsia="en-GB"/>
              </w:rPr>
              <w:t>Neil Yeomans</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07B9A9DF" w14:textId="77777777" w:rsidR="007875CD" w:rsidRPr="00A02CDE" w:rsidRDefault="007875CD" w:rsidP="004C1C90">
            <w:pPr>
              <w:rPr>
                <w:rFonts w:cs="Arial"/>
                <w:sz w:val="16"/>
                <w:szCs w:val="16"/>
                <w:lang w:eastAsia="en-GB"/>
              </w:rPr>
            </w:pPr>
            <w:r>
              <w:rPr>
                <w:rFonts w:cs="Arial"/>
                <w:sz w:val="16"/>
                <w:szCs w:val="16"/>
              </w:rPr>
              <w:t>1</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bottom"/>
          </w:tcPr>
          <w:p w14:paraId="78B686EE" w14:textId="77777777" w:rsidR="007875CD" w:rsidRPr="00A02CDE" w:rsidRDefault="007875CD" w:rsidP="004C1C90">
            <w:pPr>
              <w:rPr>
                <w:rFonts w:cs="Arial"/>
                <w:sz w:val="16"/>
                <w:szCs w:val="16"/>
              </w:rPr>
            </w:pPr>
            <w:r w:rsidRPr="00A02CDE">
              <w:rPr>
                <w:rFonts w:cs="Arial"/>
                <w:sz w:val="16"/>
                <w:szCs w:val="16"/>
              </w:rPr>
              <w:t>1</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0D635E23" w14:textId="77777777" w:rsidR="007875CD" w:rsidRPr="00A02CDE" w:rsidRDefault="007875CD" w:rsidP="004C1C90">
            <w:pPr>
              <w:rPr>
                <w:rFonts w:cs="Arial"/>
                <w:sz w:val="16"/>
                <w:szCs w:val="16"/>
                <w:lang w:eastAsia="en-GB"/>
              </w:rPr>
            </w:pPr>
            <w:r>
              <w:rPr>
                <w:rFonts w:cs="Arial"/>
                <w:sz w:val="16"/>
                <w:szCs w:val="16"/>
                <w:lang w:eastAsia="en-GB"/>
              </w:rPr>
              <w:t>1</w:t>
            </w:r>
          </w:p>
        </w:tc>
        <w:tc>
          <w:tcPr>
            <w:tcW w:w="960" w:type="dxa"/>
            <w:tcBorders>
              <w:top w:val="single" w:sz="4" w:space="0" w:color="auto"/>
              <w:left w:val="nil"/>
              <w:bottom w:val="single" w:sz="4" w:space="0" w:color="auto"/>
              <w:right w:val="single" w:sz="4" w:space="0" w:color="auto"/>
            </w:tcBorders>
            <w:shd w:val="clear" w:color="auto" w:fill="FFFFFF"/>
            <w:noWrap/>
            <w:vAlign w:val="bottom"/>
          </w:tcPr>
          <w:p w14:paraId="381F19FD" w14:textId="77777777" w:rsidR="007875CD" w:rsidRPr="00A02CDE" w:rsidRDefault="007875CD" w:rsidP="004C1C90">
            <w:pPr>
              <w:rPr>
                <w:rFonts w:cs="Arial"/>
                <w:b/>
                <w:bCs/>
                <w:sz w:val="16"/>
                <w:szCs w:val="16"/>
                <w:lang w:eastAsia="en-GB"/>
              </w:rPr>
            </w:pPr>
          </w:p>
        </w:tc>
        <w:tc>
          <w:tcPr>
            <w:tcW w:w="960" w:type="dxa"/>
            <w:tcBorders>
              <w:top w:val="single" w:sz="4" w:space="0" w:color="auto"/>
              <w:left w:val="nil"/>
              <w:bottom w:val="single" w:sz="4" w:space="0" w:color="auto"/>
              <w:right w:val="single" w:sz="4" w:space="0" w:color="auto"/>
            </w:tcBorders>
            <w:shd w:val="clear" w:color="auto" w:fill="FFFFFF"/>
            <w:noWrap/>
          </w:tcPr>
          <w:p w14:paraId="1C34DE5F" w14:textId="77777777" w:rsidR="007875CD" w:rsidRDefault="007875CD" w:rsidP="004C1C90">
            <w:r>
              <w:rPr>
                <w:rFonts w:cs="Arial"/>
                <w:b/>
                <w:bCs/>
                <w:sz w:val="16"/>
                <w:szCs w:val="16"/>
              </w:rPr>
              <w:t>3</w:t>
            </w:r>
            <w:r w:rsidRPr="00F6387A">
              <w:rPr>
                <w:rFonts w:cs="Arial"/>
                <w:b/>
                <w:bCs/>
                <w:sz w:val="16"/>
                <w:szCs w:val="16"/>
              </w:rPr>
              <w:t>/3</w:t>
            </w:r>
          </w:p>
        </w:tc>
        <w:tc>
          <w:tcPr>
            <w:tcW w:w="960" w:type="dxa"/>
            <w:tcBorders>
              <w:top w:val="single" w:sz="4" w:space="0" w:color="auto"/>
              <w:left w:val="nil"/>
              <w:bottom w:val="single" w:sz="4" w:space="0" w:color="auto"/>
              <w:right w:val="nil"/>
            </w:tcBorders>
            <w:shd w:val="clear" w:color="auto" w:fill="FFFFFF"/>
            <w:noWrap/>
            <w:vAlign w:val="bottom"/>
          </w:tcPr>
          <w:p w14:paraId="3343A5B9" w14:textId="77777777" w:rsidR="007875CD" w:rsidRPr="00A02CDE" w:rsidRDefault="007875CD" w:rsidP="004C1C90">
            <w:pPr>
              <w:rPr>
                <w:rFonts w:cs="Arial"/>
                <w:b/>
                <w:bCs/>
                <w:sz w:val="16"/>
                <w:szCs w:val="16"/>
                <w:lang w:eastAsia="en-GB"/>
              </w:rPr>
            </w:pPr>
            <w:r>
              <w:rPr>
                <w:rFonts w:cs="Arial"/>
                <w:b/>
                <w:bCs/>
                <w:sz w:val="16"/>
                <w:szCs w:val="16"/>
              </w:rPr>
              <w:t>100</w:t>
            </w:r>
            <w:r w:rsidRPr="00A02CDE">
              <w:rPr>
                <w:rFonts w:cs="Arial"/>
                <w:b/>
                <w:bCs/>
                <w:sz w:val="16"/>
                <w:szCs w:val="16"/>
              </w:rPr>
              <w:t>%</w:t>
            </w:r>
          </w:p>
        </w:tc>
      </w:tr>
      <w:tr w:rsidR="007875CD" w:rsidRPr="00E66F44" w14:paraId="1C120849"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4A26F68F" w14:textId="77777777" w:rsidR="007875CD" w:rsidRPr="00FC78AC" w:rsidRDefault="007875CD" w:rsidP="004C1C90">
            <w:pPr>
              <w:rPr>
                <w:rFonts w:cs="Arial"/>
                <w:b/>
                <w:bCs/>
                <w:color w:val="000000"/>
                <w:sz w:val="16"/>
                <w:szCs w:val="16"/>
                <w:lang w:eastAsia="en-GB"/>
              </w:rPr>
            </w:pPr>
            <w:r w:rsidRPr="00FC78AC">
              <w:rPr>
                <w:rFonts w:cs="Arial"/>
                <w:b/>
                <w:bCs/>
                <w:color w:val="000000"/>
                <w:sz w:val="16"/>
                <w:szCs w:val="16"/>
                <w:lang w:eastAsia="en-GB"/>
              </w:rPr>
              <w:t>Total Present</w:t>
            </w:r>
          </w:p>
        </w:tc>
        <w:tc>
          <w:tcPr>
            <w:tcW w:w="960" w:type="dxa"/>
            <w:tcBorders>
              <w:top w:val="nil"/>
              <w:left w:val="nil"/>
              <w:bottom w:val="single" w:sz="4" w:space="0" w:color="auto"/>
              <w:right w:val="single" w:sz="4" w:space="0" w:color="auto"/>
            </w:tcBorders>
            <w:shd w:val="clear" w:color="auto" w:fill="FFFFFF"/>
            <w:noWrap/>
            <w:vAlign w:val="bottom"/>
          </w:tcPr>
          <w:p w14:paraId="53CD9C1F" w14:textId="77777777" w:rsidR="007875CD" w:rsidRPr="00455AF9" w:rsidRDefault="007875CD" w:rsidP="004C1C90">
            <w:pPr>
              <w:rPr>
                <w:rFonts w:cs="Arial"/>
                <w:sz w:val="16"/>
                <w:szCs w:val="16"/>
                <w:lang w:eastAsia="en-GB"/>
              </w:rPr>
            </w:pPr>
            <w:r>
              <w:rPr>
                <w:rFonts w:cs="Arial"/>
                <w:sz w:val="16"/>
                <w:szCs w:val="16"/>
                <w:lang w:eastAsia="en-GB"/>
              </w:rPr>
              <w:t>4</w:t>
            </w:r>
          </w:p>
        </w:tc>
        <w:tc>
          <w:tcPr>
            <w:tcW w:w="978" w:type="dxa"/>
            <w:tcBorders>
              <w:top w:val="single" w:sz="4" w:space="0" w:color="auto"/>
              <w:left w:val="nil"/>
              <w:bottom w:val="single" w:sz="4" w:space="0" w:color="auto"/>
              <w:right w:val="single" w:sz="4" w:space="0" w:color="auto"/>
            </w:tcBorders>
            <w:shd w:val="clear" w:color="auto" w:fill="FFFFFF"/>
          </w:tcPr>
          <w:p w14:paraId="11EB38BE" w14:textId="77777777" w:rsidR="007875CD" w:rsidRPr="00455AF9" w:rsidRDefault="007875CD" w:rsidP="004C1C90">
            <w:pPr>
              <w:rPr>
                <w:rFonts w:cs="Arial"/>
                <w:sz w:val="16"/>
                <w:szCs w:val="16"/>
                <w:lang w:eastAsia="en-GB"/>
              </w:rPr>
            </w:pPr>
          </w:p>
          <w:p w14:paraId="07EC7E95" w14:textId="77777777" w:rsidR="007875CD" w:rsidRPr="00455AF9" w:rsidRDefault="007875CD" w:rsidP="004C1C90">
            <w:pPr>
              <w:rPr>
                <w:rFonts w:cs="Arial"/>
                <w:sz w:val="16"/>
                <w:szCs w:val="16"/>
                <w:lang w:eastAsia="en-GB"/>
              </w:rPr>
            </w:pPr>
            <w:r>
              <w:rPr>
                <w:rFonts w:cs="Arial"/>
                <w:sz w:val="16"/>
                <w:szCs w:val="16"/>
                <w:lang w:eastAsia="en-GB"/>
              </w:rPr>
              <w:t>4</w:t>
            </w:r>
          </w:p>
        </w:tc>
        <w:tc>
          <w:tcPr>
            <w:tcW w:w="960" w:type="dxa"/>
            <w:tcBorders>
              <w:top w:val="nil"/>
              <w:left w:val="single" w:sz="4" w:space="0" w:color="auto"/>
              <w:bottom w:val="single" w:sz="4" w:space="0" w:color="auto"/>
              <w:right w:val="single" w:sz="4" w:space="0" w:color="auto"/>
            </w:tcBorders>
            <w:shd w:val="clear" w:color="auto" w:fill="FFFFFF"/>
            <w:noWrap/>
            <w:vAlign w:val="bottom"/>
          </w:tcPr>
          <w:p w14:paraId="16C0DE64" w14:textId="77777777" w:rsidR="007875CD" w:rsidRPr="00455AF9" w:rsidRDefault="007875CD" w:rsidP="004C1C90">
            <w:pPr>
              <w:rPr>
                <w:rFonts w:cs="Arial"/>
                <w:sz w:val="16"/>
                <w:szCs w:val="16"/>
                <w:lang w:eastAsia="en-GB"/>
              </w:rPr>
            </w:pPr>
            <w:r>
              <w:rPr>
                <w:rFonts w:cs="Arial"/>
                <w:sz w:val="16"/>
                <w:szCs w:val="16"/>
                <w:lang w:eastAsia="en-GB"/>
              </w:rPr>
              <w:t>4</w:t>
            </w:r>
          </w:p>
        </w:tc>
        <w:tc>
          <w:tcPr>
            <w:tcW w:w="960" w:type="dxa"/>
            <w:tcBorders>
              <w:top w:val="nil"/>
              <w:left w:val="nil"/>
              <w:bottom w:val="single" w:sz="4" w:space="0" w:color="auto"/>
              <w:right w:val="single" w:sz="4" w:space="0" w:color="auto"/>
            </w:tcBorders>
            <w:shd w:val="clear" w:color="auto" w:fill="FFFFFF"/>
            <w:noWrap/>
            <w:vAlign w:val="bottom"/>
          </w:tcPr>
          <w:p w14:paraId="00206804" w14:textId="77777777" w:rsidR="007875CD" w:rsidRPr="00455AF9" w:rsidRDefault="007875CD" w:rsidP="004C1C90">
            <w:pPr>
              <w:rPr>
                <w:rFonts w:cs="Arial"/>
                <w:sz w:val="16"/>
                <w:szCs w:val="16"/>
                <w:lang w:eastAsia="en-GB"/>
              </w:rPr>
            </w:pPr>
          </w:p>
        </w:tc>
        <w:tc>
          <w:tcPr>
            <w:tcW w:w="960" w:type="dxa"/>
            <w:tcBorders>
              <w:top w:val="single" w:sz="4" w:space="0" w:color="auto"/>
              <w:left w:val="nil"/>
              <w:bottom w:val="nil"/>
              <w:right w:val="nil"/>
            </w:tcBorders>
            <w:shd w:val="clear" w:color="auto" w:fill="auto"/>
            <w:noWrap/>
            <w:vAlign w:val="bottom"/>
            <w:hideMark/>
          </w:tcPr>
          <w:p w14:paraId="76431214" w14:textId="77777777" w:rsidR="007875CD" w:rsidRPr="00E66F44" w:rsidRDefault="007875CD" w:rsidP="004C1C90">
            <w:pPr>
              <w:rPr>
                <w:rFonts w:cs="Arial"/>
                <w:sz w:val="16"/>
                <w:szCs w:val="16"/>
                <w:lang w:eastAsia="en-GB"/>
              </w:rPr>
            </w:pPr>
            <w:r w:rsidRPr="00E66F44">
              <w:rPr>
                <w:rFonts w:cs="Arial"/>
                <w:sz w:val="16"/>
                <w:szCs w:val="16"/>
                <w:lang w:eastAsia="en-GB"/>
              </w:rPr>
              <w:t> </w:t>
            </w:r>
          </w:p>
        </w:tc>
        <w:tc>
          <w:tcPr>
            <w:tcW w:w="960" w:type="dxa"/>
            <w:tcBorders>
              <w:top w:val="single" w:sz="4" w:space="0" w:color="auto"/>
              <w:left w:val="nil"/>
              <w:bottom w:val="nil"/>
              <w:right w:val="nil"/>
            </w:tcBorders>
            <w:shd w:val="clear" w:color="auto" w:fill="auto"/>
            <w:noWrap/>
            <w:vAlign w:val="bottom"/>
            <w:hideMark/>
          </w:tcPr>
          <w:p w14:paraId="0619850D" w14:textId="77777777" w:rsidR="007875CD" w:rsidRPr="00E66F44" w:rsidRDefault="007875CD" w:rsidP="004C1C90">
            <w:pPr>
              <w:rPr>
                <w:rFonts w:cs="Arial"/>
                <w:sz w:val="16"/>
                <w:szCs w:val="16"/>
                <w:lang w:eastAsia="en-GB"/>
              </w:rPr>
            </w:pPr>
            <w:r w:rsidRPr="00E66F44">
              <w:rPr>
                <w:rFonts w:cs="Arial"/>
                <w:sz w:val="16"/>
                <w:szCs w:val="16"/>
                <w:lang w:eastAsia="en-GB"/>
              </w:rPr>
              <w:t> </w:t>
            </w:r>
          </w:p>
        </w:tc>
      </w:tr>
      <w:tr w:rsidR="007875CD" w:rsidRPr="00E66F44" w14:paraId="4A84E738"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7AD493B6" w14:textId="77777777" w:rsidR="007875CD" w:rsidRPr="00FC78AC" w:rsidRDefault="007875CD" w:rsidP="004C1C90">
            <w:pPr>
              <w:rPr>
                <w:rFonts w:cs="Arial"/>
                <w:b/>
                <w:bCs/>
                <w:color w:val="000000"/>
                <w:sz w:val="16"/>
                <w:szCs w:val="16"/>
                <w:lang w:eastAsia="en-GB"/>
              </w:rPr>
            </w:pPr>
            <w:r w:rsidRPr="00FC78AC">
              <w:rPr>
                <w:rFonts w:cs="Arial"/>
                <w:b/>
                <w:bCs/>
                <w:color w:val="000000"/>
                <w:sz w:val="16"/>
                <w:szCs w:val="16"/>
                <w:lang w:eastAsia="en-GB"/>
              </w:rPr>
              <w:t>Total Possible</w:t>
            </w:r>
          </w:p>
        </w:tc>
        <w:tc>
          <w:tcPr>
            <w:tcW w:w="960" w:type="dxa"/>
            <w:tcBorders>
              <w:top w:val="nil"/>
              <w:left w:val="nil"/>
              <w:bottom w:val="single" w:sz="4" w:space="0" w:color="auto"/>
              <w:right w:val="single" w:sz="4" w:space="0" w:color="auto"/>
            </w:tcBorders>
            <w:shd w:val="clear" w:color="auto" w:fill="FFFFFF"/>
            <w:noWrap/>
            <w:vAlign w:val="bottom"/>
          </w:tcPr>
          <w:p w14:paraId="483399FD" w14:textId="77777777" w:rsidR="007875CD" w:rsidRPr="00455AF9" w:rsidRDefault="007875CD" w:rsidP="004C1C90">
            <w:pPr>
              <w:rPr>
                <w:rFonts w:cs="Arial"/>
                <w:sz w:val="16"/>
                <w:szCs w:val="16"/>
                <w:lang w:eastAsia="en-GB"/>
              </w:rPr>
            </w:pPr>
            <w:r>
              <w:rPr>
                <w:rFonts w:cs="Arial"/>
                <w:sz w:val="16"/>
                <w:szCs w:val="16"/>
                <w:lang w:eastAsia="en-GB"/>
              </w:rPr>
              <w:t>4</w:t>
            </w:r>
          </w:p>
        </w:tc>
        <w:tc>
          <w:tcPr>
            <w:tcW w:w="978" w:type="dxa"/>
            <w:tcBorders>
              <w:top w:val="single" w:sz="4" w:space="0" w:color="auto"/>
              <w:left w:val="nil"/>
              <w:bottom w:val="single" w:sz="4" w:space="0" w:color="auto"/>
              <w:right w:val="single" w:sz="4" w:space="0" w:color="auto"/>
            </w:tcBorders>
            <w:shd w:val="clear" w:color="auto" w:fill="FFFFFF"/>
          </w:tcPr>
          <w:p w14:paraId="7EA755E6" w14:textId="77777777" w:rsidR="007875CD" w:rsidRPr="00455AF9" w:rsidRDefault="007875CD" w:rsidP="004C1C90">
            <w:pPr>
              <w:rPr>
                <w:rFonts w:cs="Arial"/>
                <w:sz w:val="16"/>
                <w:szCs w:val="16"/>
                <w:lang w:eastAsia="en-GB"/>
              </w:rPr>
            </w:pPr>
          </w:p>
          <w:p w14:paraId="74975455" w14:textId="77777777" w:rsidR="007875CD" w:rsidRPr="00455AF9" w:rsidRDefault="007875CD" w:rsidP="004C1C90">
            <w:pPr>
              <w:rPr>
                <w:rFonts w:cs="Arial"/>
                <w:sz w:val="16"/>
                <w:szCs w:val="16"/>
                <w:lang w:eastAsia="en-GB"/>
              </w:rPr>
            </w:pPr>
            <w:r>
              <w:rPr>
                <w:rFonts w:cs="Arial"/>
                <w:sz w:val="16"/>
                <w:szCs w:val="16"/>
                <w:lang w:eastAsia="en-GB"/>
              </w:rPr>
              <w:t>4</w:t>
            </w:r>
          </w:p>
        </w:tc>
        <w:tc>
          <w:tcPr>
            <w:tcW w:w="960" w:type="dxa"/>
            <w:tcBorders>
              <w:top w:val="nil"/>
              <w:left w:val="single" w:sz="4" w:space="0" w:color="auto"/>
              <w:bottom w:val="single" w:sz="4" w:space="0" w:color="auto"/>
              <w:right w:val="single" w:sz="4" w:space="0" w:color="auto"/>
            </w:tcBorders>
            <w:shd w:val="clear" w:color="auto" w:fill="FFFFFF"/>
            <w:noWrap/>
            <w:vAlign w:val="bottom"/>
          </w:tcPr>
          <w:p w14:paraId="6C8B43C7" w14:textId="77777777" w:rsidR="007875CD" w:rsidRPr="00455AF9" w:rsidRDefault="007875CD" w:rsidP="004C1C90">
            <w:pPr>
              <w:rPr>
                <w:rFonts w:cs="Arial"/>
                <w:sz w:val="16"/>
                <w:szCs w:val="16"/>
                <w:lang w:eastAsia="en-GB"/>
              </w:rPr>
            </w:pPr>
            <w:r>
              <w:rPr>
                <w:rFonts w:cs="Arial"/>
                <w:sz w:val="16"/>
                <w:szCs w:val="16"/>
                <w:lang w:eastAsia="en-GB"/>
              </w:rPr>
              <w:t>4</w:t>
            </w:r>
          </w:p>
        </w:tc>
        <w:tc>
          <w:tcPr>
            <w:tcW w:w="960" w:type="dxa"/>
            <w:tcBorders>
              <w:top w:val="nil"/>
              <w:left w:val="nil"/>
              <w:bottom w:val="single" w:sz="4" w:space="0" w:color="auto"/>
              <w:right w:val="single" w:sz="4" w:space="0" w:color="auto"/>
            </w:tcBorders>
            <w:shd w:val="clear" w:color="auto" w:fill="FFFFFF"/>
            <w:noWrap/>
            <w:vAlign w:val="bottom"/>
          </w:tcPr>
          <w:p w14:paraId="35B40FB9" w14:textId="77777777" w:rsidR="007875CD" w:rsidRPr="00455AF9" w:rsidRDefault="007875CD" w:rsidP="004C1C90">
            <w:pPr>
              <w:rPr>
                <w:rFonts w:cs="Arial"/>
                <w:sz w:val="16"/>
                <w:szCs w:val="16"/>
                <w:lang w:eastAsia="en-GB"/>
              </w:rPr>
            </w:pPr>
          </w:p>
        </w:tc>
        <w:tc>
          <w:tcPr>
            <w:tcW w:w="960" w:type="dxa"/>
            <w:tcBorders>
              <w:top w:val="nil"/>
              <w:left w:val="nil"/>
              <w:bottom w:val="nil"/>
              <w:right w:val="nil"/>
            </w:tcBorders>
            <w:shd w:val="clear" w:color="auto" w:fill="auto"/>
            <w:noWrap/>
            <w:vAlign w:val="bottom"/>
            <w:hideMark/>
          </w:tcPr>
          <w:p w14:paraId="57CBEB5F" w14:textId="77777777" w:rsidR="007875CD" w:rsidRPr="00E66F44" w:rsidRDefault="007875CD" w:rsidP="004C1C90">
            <w:pPr>
              <w:rPr>
                <w:rFonts w:cs="Arial"/>
                <w:sz w:val="16"/>
                <w:szCs w:val="16"/>
                <w:lang w:eastAsia="en-GB"/>
              </w:rPr>
            </w:pPr>
            <w:r w:rsidRPr="00E66F44">
              <w:rPr>
                <w:rFonts w:cs="Arial"/>
                <w:sz w:val="16"/>
                <w:szCs w:val="16"/>
                <w:lang w:eastAsia="en-GB"/>
              </w:rPr>
              <w:t> </w:t>
            </w:r>
          </w:p>
        </w:tc>
        <w:tc>
          <w:tcPr>
            <w:tcW w:w="960" w:type="dxa"/>
            <w:tcBorders>
              <w:top w:val="nil"/>
              <w:left w:val="nil"/>
              <w:bottom w:val="nil"/>
              <w:right w:val="nil"/>
            </w:tcBorders>
            <w:shd w:val="clear" w:color="auto" w:fill="auto"/>
            <w:noWrap/>
            <w:vAlign w:val="bottom"/>
            <w:hideMark/>
          </w:tcPr>
          <w:p w14:paraId="45117A12" w14:textId="77777777" w:rsidR="007875CD" w:rsidRPr="00E66F44" w:rsidRDefault="007875CD" w:rsidP="004C1C90">
            <w:pPr>
              <w:rPr>
                <w:rFonts w:cs="Arial"/>
                <w:sz w:val="16"/>
                <w:szCs w:val="16"/>
                <w:lang w:eastAsia="en-GB"/>
              </w:rPr>
            </w:pPr>
          </w:p>
        </w:tc>
      </w:tr>
      <w:tr w:rsidR="007875CD" w:rsidRPr="00E66F44" w14:paraId="72E77960" w14:textId="77777777" w:rsidTr="004C1C90">
        <w:trPr>
          <w:trHeight w:val="300"/>
        </w:trPr>
        <w:tc>
          <w:tcPr>
            <w:tcW w:w="1900" w:type="dxa"/>
            <w:tcBorders>
              <w:top w:val="nil"/>
              <w:left w:val="single" w:sz="4" w:space="0" w:color="auto"/>
              <w:bottom w:val="single" w:sz="4" w:space="0" w:color="auto"/>
              <w:right w:val="single" w:sz="4" w:space="0" w:color="auto"/>
            </w:tcBorders>
            <w:shd w:val="clear" w:color="auto" w:fill="FFFFFF"/>
            <w:noWrap/>
            <w:vAlign w:val="bottom"/>
            <w:hideMark/>
          </w:tcPr>
          <w:p w14:paraId="67A731A6" w14:textId="77777777" w:rsidR="007875CD" w:rsidRPr="00FC78AC" w:rsidRDefault="007875CD" w:rsidP="004C1C90">
            <w:pPr>
              <w:rPr>
                <w:rFonts w:cs="Arial"/>
                <w:b/>
                <w:bCs/>
                <w:color w:val="000000"/>
                <w:sz w:val="16"/>
                <w:szCs w:val="16"/>
                <w:lang w:eastAsia="en-GB"/>
              </w:rPr>
            </w:pPr>
            <w:r w:rsidRPr="00FC78AC">
              <w:rPr>
                <w:rFonts w:cs="Arial"/>
                <w:b/>
                <w:bCs/>
                <w:color w:val="000000"/>
                <w:sz w:val="16"/>
                <w:szCs w:val="16"/>
                <w:lang w:eastAsia="en-GB"/>
              </w:rPr>
              <w:t>% Attendance</w:t>
            </w:r>
          </w:p>
        </w:tc>
        <w:tc>
          <w:tcPr>
            <w:tcW w:w="960" w:type="dxa"/>
            <w:tcBorders>
              <w:top w:val="nil"/>
              <w:left w:val="nil"/>
              <w:bottom w:val="single" w:sz="4" w:space="0" w:color="auto"/>
              <w:right w:val="single" w:sz="4" w:space="0" w:color="auto"/>
            </w:tcBorders>
            <w:shd w:val="clear" w:color="auto" w:fill="FFFFFF"/>
            <w:noWrap/>
            <w:vAlign w:val="bottom"/>
          </w:tcPr>
          <w:p w14:paraId="14289323" w14:textId="77777777" w:rsidR="007875CD" w:rsidRPr="00455AF9" w:rsidRDefault="007875CD" w:rsidP="004C1C90">
            <w:pPr>
              <w:rPr>
                <w:rFonts w:cs="Arial"/>
                <w:b/>
                <w:bCs/>
                <w:sz w:val="16"/>
                <w:szCs w:val="16"/>
                <w:lang w:eastAsia="en-GB"/>
              </w:rPr>
            </w:pPr>
            <w:r>
              <w:rPr>
                <w:rFonts w:cs="Arial"/>
                <w:b/>
                <w:bCs/>
                <w:sz w:val="16"/>
                <w:szCs w:val="16"/>
                <w:lang w:eastAsia="en-GB"/>
              </w:rPr>
              <w:t>100</w:t>
            </w:r>
            <w:r w:rsidRPr="00455AF9">
              <w:rPr>
                <w:rFonts w:cs="Arial"/>
                <w:b/>
                <w:bCs/>
                <w:sz w:val="16"/>
                <w:szCs w:val="16"/>
                <w:lang w:eastAsia="en-GB"/>
              </w:rPr>
              <w:t>%</w:t>
            </w:r>
          </w:p>
        </w:tc>
        <w:tc>
          <w:tcPr>
            <w:tcW w:w="978" w:type="dxa"/>
            <w:tcBorders>
              <w:top w:val="single" w:sz="4" w:space="0" w:color="auto"/>
              <w:left w:val="nil"/>
              <w:bottom w:val="single" w:sz="4" w:space="0" w:color="auto"/>
              <w:right w:val="single" w:sz="4" w:space="0" w:color="auto"/>
            </w:tcBorders>
            <w:shd w:val="clear" w:color="auto" w:fill="FFFFFF"/>
          </w:tcPr>
          <w:p w14:paraId="73A1536B" w14:textId="77777777" w:rsidR="007875CD" w:rsidRPr="00455AF9" w:rsidRDefault="007875CD" w:rsidP="004C1C90">
            <w:pPr>
              <w:rPr>
                <w:rFonts w:cs="Arial"/>
                <w:b/>
                <w:bCs/>
                <w:sz w:val="16"/>
                <w:szCs w:val="16"/>
                <w:lang w:eastAsia="en-GB"/>
              </w:rPr>
            </w:pPr>
          </w:p>
          <w:p w14:paraId="0F0A286F" w14:textId="77777777" w:rsidR="007875CD" w:rsidRPr="00455AF9" w:rsidRDefault="007875CD" w:rsidP="004C1C90">
            <w:pPr>
              <w:rPr>
                <w:rFonts w:cs="Arial"/>
                <w:b/>
                <w:bCs/>
                <w:sz w:val="16"/>
                <w:szCs w:val="16"/>
                <w:lang w:eastAsia="en-GB"/>
              </w:rPr>
            </w:pPr>
            <w:r w:rsidRPr="00455AF9">
              <w:rPr>
                <w:rFonts w:cs="Arial"/>
                <w:b/>
                <w:bCs/>
                <w:sz w:val="16"/>
                <w:szCs w:val="16"/>
                <w:lang w:eastAsia="en-GB"/>
              </w:rPr>
              <w:t>100%</w:t>
            </w:r>
          </w:p>
        </w:tc>
        <w:tc>
          <w:tcPr>
            <w:tcW w:w="960" w:type="dxa"/>
            <w:tcBorders>
              <w:top w:val="nil"/>
              <w:left w:val="single" w:sz="4" w:space="0" w:color="auto"/>
              <w:bottom w:val="single" w:sz="4" w:space="0" w:color="auto"/>
              <w:right w:val="single" w:sz="4" w:space="0" w:color="auto"/>
            </w:tcBorders>
            <w:shd w:val="clear" w:color="auto" w:fill="FFFFFF"/>
            <w:noWrap/>
            <w:vAlign w:val="bottom"/>
          </w:tcPr>
          <w:p w14:paraId="13BDE7D8" w14:textId="77777777" w:rsidR="007875CD" w:rsidRPr="00455AF9" w:rsidRDefault="007875CD" w:rsidP="004C1C90">
            <w:pPr>
              <w:rPr>
                <w:rFonts w:cs="Arial"/>
                <w:b/>
                <w:bCs/>
                <w:sz w:val="16"/>
                <w:szCs w:val="16"/>
                <w:lang w:eastAsia="en-GB"/>
              </w:rPr>
            </w:pPr>
            <w:r>
              <w:rPr>
                <w:rFonts w:cs="Arial"/>
                <w:b/>
                <w:bCs/>
                <w:sz w:val="16"/>
                <w:szCs w:val="16"/>
                <w:lang w:eastAsia="en-GB"/>
              </w:rPr>
              <w:t>100</w:t>
            </w:r>
            <w:r w:rsidRPr="00455AF9">
              <w:rPr>
                <w:rFonts w:cs="Arial"/>
                <w:b/>
                <w:bCs/>
                <w:sz w:val="16"/>
                <w:szCs w:val="16"/>
                <w:lang w:eastAsia="en-GB"/>
              </w:rPr>
              <w:t>%</w:t>
            </w:r>
          </w:p>
        </w:tc>
        <w:tc>
          <w:tcPr>
            <w:tcW w:w="960" w:type="dxa"/>
            <w:tcBorders>
              <w:top w:val="nil"/>
              <w:left w:val="nil"/>
              <w:bottom w:val="single" w:sz="4" w:space="0" w:color="auto"/>
              <w:right w:val="single" w:sz="4" w:space="0" w:color="auto"/>
            </w:tcBorders>
            <w:shd w:val="clear" w:color="auto" w:fill="FFFFFF"/>
            <w:noWrap/>
            <w:vAlign w:val="bottom"/>
          </w:tcPr>
          <w:p w14:paraId="777401D0" w14:textId="77777777" w:rsidR="007875CD" w:rsidRPr="00455AF9" w:rsidRDefault="007875CD" w:rsidP="004C1C90">
            <w:pPr>
              <w:rPr>
                <w:rFonts w:cs="Arial"/>
                <w:b/>
                <w:bCs/>
                <w:sz w:val="16"/>
                <w:szCs w:val="16"/>
                <w:lang w:eastAsia="en-GB"/>
              </w:rPr>
            </w:pPr>
          </w:p>
        </w:tc>
        <w:tc>
          <w:tcPr>
            <w:tcW w:w="960" w:type="dxa"/>
            <w:tcBorders>
              <w:top w:val="nil"/>
              <w:left w:val="nil"/>
              <w:bottom w:val="single" w:sz="4" w:space="0" w:color="auto"/>
              <w:right w:val="nil"/>
            </w:tcBorders>
            <w:shd w:val="clear" w:color="auto" w:fill="auto"/>
            <w:noWrap/>
            <w:vAlign w:val="bottom"/>
          </w:tcPr>
          <w:p w14:paraId="3876792E" w14:textId="77777777" w:rsidR="007875CD" w:rsidRPr="00E66F44" w:rsidRDefault="007875CD" w:rsidP="004C1C90">
            <w:pPr>
              <w:rPr>
                <w:rFonts w:cs="Arial"/>
                <w:b/>
                <w:bCs/>
                <w:sz w:val="16"/>
                <w:szCs w:val="16"/>
                <w:lang w:eastAsia="en-GB"/>
              </w:rPr>
            </w:pPr>
          </w:p>
        </w:tc>
        <w:tc>
          <w:tcPr>
            <w:tcW w:w="960" w:type="dxa"/>
            <w:tcBorders>
              <w:top w:val="nil"/>
              <w:left w:val="nil"/>
              <w:bottom w:val="single" w:sz="4" w:space="0" w:color="auto"/>
              <w:right w:val="nil"/>
            </w:tcBorders>
            <w:shd w:val="clear" w:color="auto" w:fill="auto"/>
            <w:noWrap/>
            <w:vAlign w:val="bottom"/>
          </w:tcPr>
          <w:p w14:paraId="3413B3DA" w14:textId="77777777" w:rsidR="007875CD" w:rsidRPr="00E66F44" w:rsidRDefault="007875CD" w:rsidP="004C1C90">
            <w:pPr>
              <w:rPr>
                <w:rFonts w:cs="Arial"/>
                <w:b/>
                <w:bCs/>
                <w:sz w:val="16"/>
                <w:szCs w:val="16"/>
                <w:lang w:eastAsia="en-GB"/>
              </w:rPr>
            </w:pPr>
            <w:r>
              <w:rPr>
                <w:rFonts w:cs="Arial"/>
                <w:b/>
                <w:bCs/>
                <w:sz w:val="16"/>
                <w:szCs w:val="16"/>
                <w:lang w:eastAsia="en-GB"/>
              </w:rPr>
              <w:t>82.5%</w:t>
            </w:r>
          </w:p>
        </w:tc>
      </w:tr>
    </w:tbl>
    <w:p w14:paraId="35284725" w14:textId="77777777" w:rsidR="007875CD" w:rsidRDefault="007875CD" w:rsidP="007875CD">
      <w:pPr>
        <w:tabs>
          <w:tab w:val="left" w:pos="1134"/>
        </w:tabs>
        <w:autoSpaceDE w:val="0"/>
        <w:autoSpaceDN w:val="0"/>
        <w:adjustRightInd w:val="0"/>
        <w:spacing w:line="312" w:lineRule="auto"/>
        <w:rPr>
          <w:rFonts w:ascii="Verdana" w:hAnsi="Verdana" w:cs="Helvetica-Bold"/>
          <w:b/>
          <w:bCs/>
          <w:sz w:val="20"/>
          <w:u w:val="single"/>
          <w:lang w:eastAsia="en-GB"/>
        </w:rPr>
      </w:pPr>
    </w:p>
    <w:p w14:paraId="653E263D" w14:textId="77777777" w:rsidR="007875CD" w:rsidRDefault="007875CD" w:rsidP="007875CD">
      <w:pPr>
        <w:spacing w:after="160" w:line="259" w:lineRule="auto"/>
        <w:rPr>
          <w:rFonts w:ascii="Verdana" w:hAnsi="Verdana" w:cs="Helvetica-Bold"/>
          <w:b/>
          <w:bCs/>
          <w:sz w:val="20"/>
          <w:u w:val="single"/>
          <w:lang w:eastAsia="en-GB"/>
        </w:rPr>
      </w:pPr>
      <w:r>
        <w:rPr>
          <w:rFonts w:ascii="Verdana" w:hAnsi="Verdana" w:cs="Helvetica-Bold"/>
          <w:b/>
          <w:bCs/>
          <w:sz w:val="20"/>
          <w:u w:val="single"/>
          <w:lang w:eastAsia="en-GB"/>
        </w:rPr>
        <w:br w:type="page"/>
      </w:r>
    </w:p>
    <w:p w14:paraId="1C4DDD29" w14:textId="77777777" w:rsidR="007875CD" w:rsidRDefault="007875CD" w:rsidP="007875CD">
      <w:pPr>
        <w:tabs>
          <w:tab w:val="left" w:pos="1134"/>
        </w:tabs>
        <w:autoSpaceDE w:val="0"/>
        <w:autoSpaceDN w:val="0"/>
        <w:adjustRightInd w:val="0"/>
        <w:spacing w:line="312" w:lineRule="auto"/>
        <w:rPr>
          <w:rFonts w:ascii="Verdana" w:hAnsi="Verdana" w:cs="Helvetica-Bold"/>
          <w:b/>
          <w:bCs/>
          <w:sz w:val="20"/>
          <w:u w:val="single"/>
          <w:lang w:eastAsia="en-GB"/>
        </w:rPr>
      </w:pPr>
    </w:p>
    <w:p w14:paraId="722A300E" w14:textId="77777777" w:rsidR="007875CD" w:rsidRPr="00431CE6" w:rsidRDefault="007875CD" w:rsidP="007875CD">
      <w:pPr>
        <w:tabs>
          <w:tab w:val="left" w:pos="1134"/>
        </w:tabs>
        <w:autoSpaceDE w:val="0"/>
        <w:autoSpaceDN w:val="0"/>
        <w:adjustRightInd w:val="0"/>
        <w:spacing w:line="312" w:lineRule="auto"/>
        <w:ind w:left="567"/>
        <w:rPr>
          <w:rFonts w:ascii="Verdana" w:hAnsi="Verdana" w:cs="Helvetica-Bold"/>
          <w:b/>
          <w:bCs/>
          <w:sz w:val="20"/>
          <w:u w:val="single"/>
          <w:lang w:eastAsia="en-GB"/>
        </w:rPr>
      </w:pPr>
      <w:r w:rsidRPr="00431CE6">
        <w:rPr>
          <w:rFonts w:ascii="Verdana" w:hAnsi="Verdana" w:cs="Helvetica-Bold"/>
          <w:b/>
          <w:bCs/>
          <w:sz w:val="20"/>
          <w:u w:val="single"/>
          <w:lang w:eastAsia="en-GB"/>
        </w:rPr>
        <w:t>How the Committee discharged its responsibilities in 20</w:t>
      </w:r>
      <w:r>
        <w:rPr>
          <w:rFonts w:ascii="Verdana" w:hAnsi="Verdana" w:cs="Helvetica-Bold"/>
          <w:b/>
          <w:bCs/>
          <w:sz w:val="20"/>
          <w:u w:val="single"/>
          <w:lang w:eastAsia="en-GB"/>
        </w:rPr>
        <w:t>23/24</w:t>
      </w:r>
    </w:p>
    <w:p w14:paraId="578271D6"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4255F62F"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During in the year, the Committee undertook the following work:</w:t>
      </w:r>
    </w:p>
    <w:p w14:paraId="76D241F0"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7B387E5C" w14:textId="77777777" w:rsidR="007875CD" w:rsidRPr="00F60D67" w:rsidRDefault="007875CD" w:rsidP="007875CD">
      <w:pPr>
        <w:tabs>
          <w:tab w:val="left" w:pos="1134"/>
        </w:tabs>
        <w:autoSpaceDE w:val="0"/>
        <w:autoSpaceDN w:val="0"/>
        <w:adjustRightInd w:val="0"/>
        <w:spacing w:line="312" w:lineRule="auto"/>
        <w:ind w:left="567"/>
        <w:rPr>
          <w:rFonts w:ascii="Verdana" w:hAnsi="Verdana" w:cs="Helvetica-Bold"/>
          <w:bCs/>
          <w:i/>
          <w:sz w:val="20"/>
          <w:lang w:eastAsia="en-GB"/>
        </w:rPr>
      </w:pPr>
      <w:r w:rsidRPr="00F60D67">
        <w:rPr>
          <w:rFonts w:ascii="Verdana" w:hAnsi="Verdana" w:cs="Helvetica-Bold"/>
          <w:bCs/>
          <w:i/>
          <w:sz w:val="20"/>
          <w:lang w:eastAsia="en-GB"/>
        </w:rPr>
        <w:t>Board composition</w:t>
      </w:r>
    </w:p>
    <w:p w14:paraId="41547819"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Committee recruited to fill gaps in the skills, knowledge and experience profile of its members to ensure that the Board was best placed to address upcoming risks and opportunities </w:t>
      </w:r>
      <w:proofErr w:type="gramStart"/>
      <w:r>
        <w:rPr>
          <w:rFonts w:ascii="Verdana" w:hAnsi="Verdana" w:cs="Helvetica-Bold"/>
          <w:bCs/>
          <w:sz w:val="20"/>
          <w:lang w:eastAsia="en-GB"/>
        </w:rPr>
        <w:t>in order to</w:t>
      </w:r>
      <w:proofErr w:type="gramEnd"/>
      <w:r>
        <w:rPr>
          <w:rFonts w:ascii="Verdana" w:hAnsi="Verdana" w:cs="Helvetica-Bold"/>
          <w:bCs/>
          <w:sz w:val="20"/>
          <w:lang w:eastAsia="en-GB"/>
        </w:rPr>
        <w:t xml:space="preserve"> meet its strategic goals.  One new Board members was recruited starting their term in October.  The search for a new co-</w:t>
      </w:r>
      <w:proofErr w:type="spellStart"/>
      <w:r>
        <w:rPr>
          <w:rFonts w:ascii="Verdana" w:hAnsi="Verdana" w:cs="Helvetica-Bold"/>
          <w:bCs/>
          <w:sz w:val="20"/>
          <w:lang w:eastAsia="en-GB"/>
        </w:rPr>
        <w:t>optee</w:t>
      </w:r>
      <w:proofErr w:type="spellEnd"/>
      <w:r>
        <w:rPr>
          <w:rFonts w:ascii="Verdana" w:hAnsi="Verdana" w:cs="Helvetica-Bold"/>
          <w:bCs/>
          <w:sz w:val="20"/>
          <w:lang w:eastAsia="en-GB"/>
        </w:rPr>
        <w:t xml:space="preserve"> to the Property committee continued.  Co-</w:t>
      </w:r>
      <w:proofErr w:type="spellStart"/>
      <w:r>
        <w:rPr>
          <w:rFonts w:ascii="Verdana" w:hAnsi="Verdana" w:cs="Helvetica-Bold"/>
          <w:bCs/>
          <w:sz w:val="20"/>
          <w:lang w:eastAsia="en-GB"/>
        </w:rPr>
        <w:t>optee</w:t>
      </w:r>
      <w:proofErr w:type="spellEnd"/>
      <w:r>
        <w:rPr>
          <w:rFonts w:ascii="Verdana" w:hAnsi="Verdana" w:cs="Helvetica-Bold"/>
          <w:bCs/>
          <w:sz w:val="20"/>
          <w:lang w:eastAsia="en-GB"/>
        </w:rPr>
        <w:t xml:space="preserve"> roles were used in two ways: an opportunity to offer board level experience to applicants and to give them an opportunity to develop their skills to fill future board roles at NCC; or to recruit a specialist who might not want a full board role but was keen to share their knowledge and experience to support the college in a more specialist area, typically audit and property.</w:t>
      </w:r>
    </w:p>
    <w:p w14:paraId="6090277A"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15476FB4"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Three Board members resigned during the year due to both personal and professional reasons.   </w:t>
      </w:r>
    </w:p>
    <w:p w14:paraId="709513F2"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222B16AA"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i/>
          <w:sz w:val="20"/>
          <w:lang w:eastAsia="en-GB"/>
        </w:rPr>
      </w:pPr>
      <w:r w:rsidRPr="00F60D67">
        <w:rPr>
          <w:rFonts w:ascii="Verdana" w:hAnsi="Verdana" w:cs="Helvetica-Bold"/>
          <w:bCs/>
          <w:i/>
          <w:sz w:val="20"/>
          <w:lang w:eastAsia="en-GB"/>
        </w:rPr>
        <w:t>Succession planning</w:t>
      </w:r>
    </w:p>
    <w:p w14:paraId="6A113306"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Board has a Succession Planning policy in place.  The Committee had taken the decision to decrease the size of the Board and to increase its diversity of the board.  The Search and Governance committee reviewed the committee </w:t>
      </w:r>
      <w:proofErr w:type="gramStart"/>
      <w:r>
        <w:rPr>
          <w:rFonts w:ascii="Verdana" w:hAnsi="Verdana" w:cs="Helvetica-Bold"/>
          <w:bCs/>
          <w:sz w:val="20"/>
          <w:lang w:eastAsia="en-GB"/>
        </w:rPr>
        <w:t>structure</w:t>
      </w:r>
      <w:proofErr w:type="gramEnd"/>
      <w:r>
        <w:rPr>
          <w:rFonts w:ascii="Verdana" w:hAnsi="Verdana" w:cs="Helvetica-Bold"/>
          <w:bCs/>
          <w:sz w:val="20"/>
          <w:lang w:eastAsia="en-GB"/>
        </w:rPr>
        <w:t xml:space="preserve"> and the new chairs were appointed to committees.  A new chair of the Curriculum, Quality and Students committee was appointed. The committee began work on the reviewing the board against the new Code of Governance and to ensure the duties created under the Skills Act are fully reflected.  </w:t>
      </w:r>
    </w:p>
    <w:p w14:paraId="30DF6105" w14:textId="77777777" w:rsidR="007875CD" w:rsidRDefault="007875CD" w:rsidP="007875CD">
      <w:pPr>
        <w:tabs>
          <w:tab w:val="left" w:pos="1134"/>
        </w:tabs>
        <w:autoSpaceDE w:val="0"/>
        <w:autoSpaceDN w:val="0"/>
        <w:adjustRightInd w:val="0"/>
        <w:spacing w:line="312" w:lineRule="auto"/>
        <w:rPr>
          <w:rFonts w:ascii="Verdana" w:hAnsi="Verdana" w:cs="Helvetica-Bold"/>
          <w:bCs/>
          <w:sz w:val="20"/>
          <w:lang w:eastAsia="en-GB"/>
        </w:rPr>
      </w:pPr>
    </w:p>
    <w:p w14:paraId="0499CF9E" w14:textId="77777777" w:rsidR="007875CD" w:rsidRPr="00F65FF7"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Recruitment must take account of the demands of the sector and the skills and knowledge required to successfully deliver against these improvements.  </w:t>
      </w:r>
    </w:p>
    <w:p w14:paraId="1BBE88DD"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77953D0E" w14:textId="77777777" w:rsidR="007875CD" w:rsidRPr="00F60D67" w:rsidRDefault="007875CD" w:rsidP="007875CD">
      <w:pPr>
        <w:tabs>
          <w:tab w:val="left" w:pos="1134"/>
        </w:tabs>
        <w:autoSpaceDE w:val="0"/>
        <w:autoSpaceDN w:val="0"/>
        <w:adjustRightInd w:val="0"/>
        <w:spacing w:line="312" w:lineRule="auto"/>
        <w:ind w:left="567"/>
        <w:rPr>
          <w:rFonts w:ascii="Verdana" w:hAnsi="Verdana" w:cs="Helvetica-Bold"/>
          <w:bCs/>
          <w:i/>
          <w:sz w:val="20"/>
          <w:lang w:eastAsia="en-GB"/>
        </w:rPr>
      </w:pPr>
      <w:r w:rsidRPr="00F60D67">
        <w:rPr>
          <w:rFonts w:ascii="Verdana" w:hAnsi="Verdana" w:cs="Helvetica-Bold"/>
          <w:bCs/>
          <w:i/>
          <w:sz w:val="20"/>
          <w:lang w:eastAsia="en-GB"/>
        </w:rPr>
        <w:t>Appointment of new governors</w:t>
      </w:r>
    </w:p>
    <w:p w14:paraId="335439D3"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Two new student governors were appointed in year to join the Board.  The Board continues to have two staff governors and an additional staff member as a co-</w:t>
      </w:r>
      <w:proofErr w:type="spellStart"/>
      <w:r>
        <w:rPr>
          <w:rFonts w:ascii="Verdana" w:hAnsi="Verdana" w:cs="Helvetica-Bold"/>
          <w:bCs/>
          <w:sz w:val="20"/>
          <w:lang w:eastAsia="en-GB"/>
        </w:rPr>
        <w:t>optee</w:t>
      </w:r>
      <w:proofErr w:type="spellEnd"/>
      <w:r>
        <w:rPr>
          <w:rFonts w:ascii="Verdana" w:hAnsi="Verdana" w:cs="Helvetica-Bold"/>
          <w:bCs/>
          <w:sz w:val="20"/>
          <w:lang w:eastAsia="en-GB"/>
        </w:rPr>
        <w:t xml:space="preserve"> to the Curriculum, Quality and Students committee. </w:t>
      </w:r>
    </w:p>
    <w:p w14:paraId="413B1152" w14:textId="77777777" w:rsidR="007875CD" w:rsidRDefault="007875CD" w:rsidP="007875CD">
      <w:pPr>
        <w:tabs>
          <w:tab w:val="left" w:pos="1134"/>
        </w:tabs>
        <w:autoSpaceDE w:val="0"/>
        <w:autoSpaceDN w:val="0"/>
        <w:adjustRightInd w:val="0"/>
        <w:spacing w:line="312" w:lineRule="auto"/>
        <w:rPr>
          <w:rFonts w:ascii="Verdana" w:hAnsi="Verdana" w:cs="Helvetica-Bold"/>
          <w:bCs/>
          <w:i/>
          <w:sz w:val="20"/>
          <w:lang w:eastAsia="en-GB"/>
        </w:rPr>
      </w:pPr>
    </w:p>
    <w:p w14:paraId="12143D13"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i/>
          <w:sz w:val="20"/>
          <w:lang w:eastAsia="en-GB"/>
        </w:rPr>
      </w:pPr>
      <w:r w:rsidRPr="00F60D67">
        <w:rPr>
          <w:rFonts w:ascii="Verdana" w:hAnsi="Verdana" w:cs="Helvetica-Bold"/>
          <w:bCs/>
          <w:i/>
          <w:sz w:val="20"/>
          <w:lang w:eastAsia="en-GB"/>
        </w:rPr>
        <w:t>Conflicts of interest and independence</w:t>
      </w:r>
    </w:p>
    <w:p w14:paraId="2D77C3EA"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Committee supported the Board in its annual consideration of the conflicts of interest register and considered the independence of governors prior to appointment/re-appointment.  </w:t>
      </w:r>
    </w:p>
    <w:p w14:paraId="66A3C2D2"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375D1D3"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i/>
          <w:iCs/>
          <w:sz w:val="20"/>
          <w:lang w:eastAsia="en-GB"/>
        </w:rPr>
      </w:pPr>
      <w:r>
        <w:rPr>
          <w:rFonts w:ascii="Verdana" w:hAnsi="Verdana" w:cs="Helvetica-Bold"/>
          <w:bCs/>
          <w:i/>
          <w:iCs/>
          <w:sz w:val="20"/>
          <w:lang w:eastAsia="en-GB"/>
        </w:rPr>
        <w:t>Meetings and Workplan</w:t>
      </w:r>
    </w:p>
    <w:p w14:paraId="49FF55D5" w14:textId="77777777" w:rsidR="007875CD" w:rsidRPr="00E837DB"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lastRenderedPageBreak/>
        <w:t xml:space="preserve">The committee considered the meeting frequency and planned scheme of work for the committee and the Board at its July meeting.  Reporting on the risk register was linked to the committees with each reporting back on the risks monitored by its work.  The meeting schedule was adjusted to allow the audit committee additional time to review the reporting back from committees at the end of the year </w:t>
      </w:r>
    </w:p>
    <w:p w14:paraId="638C9F79" w14:textId="77777777" w:rsidR="007875CD" w:rsidRPr="00B7225A"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24CECFA8"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i/>
          <w:sz w:val="20"/>
          <w:lang w:eastAsia="en-GB"/>
        </w:rPr>
      </w:pPr>
      <w:r>
        <w:rPr>
          <w:rFonts w:ascii="Verdana" w:hAnsi="Verdana" w:cs="Helvetica-Bold"/>
          <w:bCs/>
          <w:i/>
          <w:sz w:val="20"/>
          <w:lang w:eastAsia="en-GB"/>
        </w:rPr>
        <w:t>Board Evaluation &amp; Governance Development</w:t>
      </w:r>
    </w:p>
    <w:p w14:paraId="2D012CAF"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Committee reviewed the Board’s compliance with the new College Code of Good Governance and confirmed its compliance with the statutory elements of the College Code of Good Governance, as well as a significant number of best practice matters.  </w:t>
      </w:r>
    </w:p>
    <w:p w14:paraId="211C0872"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4B7CD335"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committee commissioned a review of the Board.  After a formal procurement process, Stone King were appointed to complete the review, with the final report delivered by July 2024. The committee will develop an action plan in 2024/25 to improve governance, reflecting on the recommendations of the review and on the </w:t>
      </w:r>
      <w:proofErr w:type="spellStart"/>
      <w:r>
        <w:rPr>
          <w:rFonts w:ascii="Verdana" w:hAnsi="Verdana" w:cs="Helvetica-Bold"/>
          <w:bCs/>
          <w:sz w:val="20"/>
          <w:lang w:eastAsia="en-GB"/>
        </w:rPr>
        <w:t>self assessment</w:t>
      </w:r>
      <w:proofErr w:type="spellEnd"/>
      <w:r>
        <w:rPr>
          <w:rFonts w:ascii="Verdana" w:hAnsi="Verdana" w:cs="Helvetica-Bold"/>
          <w:bCs/>
          <w:sz w:val="20"/>
          <w:lang w:eastAsia="en-GB"/>
        </w:rPr>
        <w:t xml:space="preserve"> by Board members</w:t>
      </w:r>
    </w:p>
    <w:p w14:paraId="0EBF7146"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616935D0"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Committee reviewed each committee’s terms of reference and membership to ensure they were fit for purpose with small changes where needed. </w:t>
      </w:r>
    </w:p>
    <w:p w14:paraId="1C424CEC"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68DC3D7"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Chair met new independent members and began a series on </w:t>
      </w:r>
      <w:proofErr w:type="gramStart"/>
      <w:r>
        <w:rPr>
          <w:rFonts w:ascii="Verdana" w:hAnsi="Verdana" w:cs="Helvetica-Bold"/>
          <w:bCs/>
          <w:sz w:val="20"/>
          <w:lang w:eastAsia="en-GB"/>
        </w:rPr>
        <w:t>one to one</w:t>
      </w:r>
      <w:proofErr w:type="gramEnd"/>
      <w:r>
        <w:rPr>
          <w:rFonts w:ascii="Verdana" w:hAnsi="Verdana" w:cs="Helvetica-Bold"/>
          <w:bCs/>
          <w:sz w:val="20"/>
          <w:lang w:eastAsia="en-GB"/>
        </w:rPr>
        <w:t xml:space="preserve"> meetings with members which will continue into the Autumn term.  This was an opportunity to reflect on individual performance and contribution as well to discuss board effectiveness, accountability and improvement. </w:t>
      </w:r>
      <w:bookmarkStart w:id="0" w:name="_Hlk147129336"/>
      <w:r>
        <w:rPr>
          <w:rFonts w:ascii="Verdana" w:hAnsi="Verdana" w:cs="Helvetica-Bold"/>
          <w:bCs/>
          <w:sz w:val="20"/>
          <w:lang w:eastAsia="en-GB"/>
        </w:rPr>
        <w:t xml:space="preserve">There were two Board Strategy Days in 2023/24 looking at areas such work on the strategic and local context.  </w:t>
      </w:r>
    </w:p>
    <w:p w14:paraId="779EDB3B"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244D5541"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Members are keen to understand the full range of the College’s activities through visits and attending committees as an </w:t>
      </w:r>
      <w:proofErr w:type="gramStart"/>
      <w:r>
        <w:rPr>
          <w:rFonts w:ascii="Verdana" w:hAnsi="Verdana" w:cs="Helvetica-Bold"/>
          <w:bCs/>
          <w:sz w:val="20"/>
          <w:lang w:eastAsia="en-GB"/>
        </w:rPr>
        <w:t>observer;</w:t>
      </w:r>
      <w:proofErr w:type="gramEnd"/>
      <w:r>
        <w:rPr>
          <w:rFonts w:ascii="Verdana" w:hAnsi="Verdana" w:cs="Helvetica-Bold"/>
          <w:bCs/>
          <w:sz w:val="20"/>
          <w:lang w:eastAsia="en-GB"/>
        </w:rPr>
        <w:t xml:space="preserve"> and increased preparation for major decisions through more use of joint committees and discussions at the strategy days.  Strategic discussions take place at the start of Board meeting and will continue to be built into Board activity moving forward and monitored by the committee.</w:t>
      </w:r>
    </w:p>
    <w:p w14:paraId="45CC6AF7"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bookmarkEnd w:id="0"/>
    <w:p w14:paraId="4E306317"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i/>
          <w:iCs/>
          <w:sz w:val="20"/>
          <w:lang w:eastAsia="en-GB"/>
        </w:rPr>
      </w:pPr>
      <w:r>
        <w:rPr>
          <w:rFonts w:ascii="Verdana" w:hAnsi="Verdana" w:cs="Helvetica-Bold"/>
          <w:bCs/>
          <w:i/>
          <w:iCs/>
          <w:sz w:val="20"/>
          <w:lang w:eastAsia="en-GB"/>
        </w:rPr>
        <w:t>Training and Development</w:t>
      </w:r>
    </w:p>
    <w:p w14:paraId="31564FA2"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5739D15E"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The strategic planning days took place at the Hackney Campus in February and May.  There were sessions on HE strategy, developing a new strategic intent, merger, governance and a training session on safeguarding responsibilities for governors.  The Board was updated on the work NCC was involved in across London and Essex and on developments in the FE sector.   </w:t>
      </w:r>
    </w:p>
    <w:p w14:paraId="6021E2FB"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0F0D9D3D"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lastRenderedPageBreak/>
        <w:t xml:space="preserve">A programme of training and development is available for each member of the Board which is updated to reflect new priorities and committee membership.  All members completed mandatory training on safeguarding, GDPR and Equality and Diversity.   There was good take up in 2023-24 and this will continue through the next academic year.  Governors receive a weekly email which includes sector developments, key announcements and signposts training and development events.   </w:t>
      </w:r>
    </w:p>
    <w:p w14:paraId="1855EFC6" w14:textId="77777777" w:rsidR="007875CD"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p>
    <w:p w14:paraId="33DC44C4" w14:textId="77777777" w:rsidR="007875CD" w:rsidRPr="00111B00" w:rsidRDefault="007875CD" w:rsidP="007875CD">
      <w:pPr>
        <w:tabs>
          <w:tab w:val="left" w:pos="1134"/>
        </w:tabs>
        <w:autoSpaceDE w:val="0"/>
        <w:autoSpaceDN w:val="0"/>
        <w:adjustRightInd w:val="0"/>
        <w:spacing w:line="312" w:lineRule="auto"/>
        <w:ind w:left="567"/>
        <w:rPr>
          <w:rFonts w:ascii="Verdana" w:hAnsi="Verdana" w:cs="Helvetica-Bold"/>
          <w:bCs/>
          <w:sz w:val="20"/>
          <w:lang w:eastAsia="en-GB"/>
        </w:rPr>
      </w:pPr>
      <w:r>
        <w:rPr>
          <w:rFonts w:ascii="Verdana" w:hAnsi="Verdana" w:cs="Helvetica-Bold"/>
          <w:bCs/>
          <w:sz w:val="20"/>
          <w:lang w:eastAsia="en-GB"/>
        </w:rPr>
        <w:t xml:space="preserve">In person visits to the campus were made by a </w:t>
      </w:r>
      <w:proofErr w:type="gramStart"/>
      <w:r>
        <w:rPr>
          <w:rFonts w:ascii="Verdana" w:hAnsi="Verdana" w:cs="Helvetica-Bold"/>
          <w:bCs/>
          <w:sz w:val="20"/>
          <w:lang w:eastAsia="en-GB"/>
        </w:rPr>
        <w:t>numbers of governors</w:t>
      </w:r>
      <w:proofErr w:type="gramEnd"/>
      <w:r>
        <w:rPr>
          <w:rFonts w:ascii="Verdana" w:hAnsi="Verdana" w:cs="Helvetica-Bold"/>
          <w:bCs/>
          <w:sz w:val="20"/>
          <w:lang w:eastAsia="en-GB"/>
        </w:rPr>
        <w:t xml:space="preserve"> looking at areas such as careers and Board members attended the annual Student Awards event held in person in October as well as the launch of the new Wellness Centre in Epping.   </w:t>
      </w:r>
    </w:p>
    <w:p w14:paraId="2446D1C5" w14:textId="77777777" w:rsidR="007875CD" w:rsidRDefault="007875CD" w:rsidP="007875CD"/>
    <w:p w14:paraId="4BEA3FBE" w14:textId="77777777" w:rsidR="007875CD" w:rsidRPr="007B35A6" w:rsidRDefault="007875CD" w:rsidP="007875CD"/>
    <w:p w14:paraId="4B83FF22" w14:textId="77777777" w:rsidR="00CC48BE" w:rsidRDefault="00CC48BE"/>
    <w:sectPr w:rsidR="00CC48BE" w:rsidSect="007875CD">
      <w:footerReference w:type="default" r:id="rId11"/>
      <w:pgSz w:w="11909" w:h="16834" w:code="9"/>
      <w:pgMar w:top="1440" w:right="1440" w:bottom="1440" w:left="1440" w:header="709" w:footer="24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D2953" w14:textId="77777777" w:rsidR="00146048" w:rsidRDefault="00146048">
      <w:r>
        <w:separator/>
      </w:r>
    </w:p>
  </w:endnote>
  <w:endnote w:type="continuationSeparator" w:id="0">
    <w:p w14:paraId="32C2FCA5" w14:textId="77777777" w:rsidR="00146048" w:rsidRDefault="00146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37052" w14:textId="77777777" w:rsidR="007875CD" w:rsidRPr="0062588E" w:rsidRDefault="007875CD">
    <w:pPr>
      <w:pStyle w:val="Footer"/>
      <w:jc w:val="right"/>
      <w:rPr>
        <w:rFonts w:ascii="Arial" w:hAnsi="Arial" w:cs="Arial"/>
        <w:sz w:val="18"/>
      </w:rPr>
    </w:pPr>
    <w:r w:rsidRPr="0062588E">
      <w:rPr>
        <w:rFonts w:ascii="Arial" w:hAnsi="Arial" w:cs="Arial"/>
        <w:sz w:val="18"/>
      </w:rPr>
      <w:fldChar w:fldCharType="begin"/>
    </w:r>
    <w:r w:rsidRPr="0062588E">
      <w:rPr>
        <w:rFonts w:ascii="Arial" w:hAnsi="Arial" w:cs="Arial"/>
        <w:sz w:val="18"/>
      </w:rPr>
      <w:instrText xml:space="preserve"> PAGE   \* MERGEFORMAT </w:instrText>
    </w:r>
    <w:r w:rsidRPr="0062588E">
      <w:rPr>
        <w:rFonts w:ascii="Arial" w:hAnsi="Arial" w:cs="Arial"/>
        <w:sz w:val="18"/>
      </w:rPr>
      <w:fldChar w:fldCharType="separate"/>
    </w:r>
    <w:r>
      <w:rPr>
        <w:rFonts w:ascii="Arial" w:hAnsi="Arial" w:cs="Arial"/>
        <w:noProof/>
        <w:sz w:val="18"/>
      </w:rPr>
      <w:t>2</w:t>
    </w:r>
    <w:r w:rsidRPr="0062588E">
      <w:rPr>
        <w:rFonts w:ascii="Arial" w:hAnsi="Arial" w:cs="Arial"/>
        <w:noProof/>
        <w:sz w:val="18"/>
      </w:rPr>
      <w:fldChar w:fldCharType="end"/>
    </w:r>
  </w:p>
  <w:p w14:paraId="71D8C52A" w14:textId="77777777" w:rsidR="007875CD" w:rsidRPr="0021456F" w:rsidRDefault="007875CD" w:rsidP="0021456F">
    <w:pPr>
      <w:pStyle w:val="Footer"/>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40044" w14:textId="77777777" w:rsidR="00146048" w:rsidRDefault="00146048">
      <w:r>
        <w:separator/>
      </w:r>
    </w:p>
  </w:footnote>
  <w:footnote w:type="continuationSeparator" w:id="0">
    <w:p w14:paraId="5D1B5D37" w14:textId="77777777" w:rsidR="00146048" w:rsidRDefault="001460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632DBD"/>
    <w:multiLevelType w:val="hybridMultilevel"/>
    <w:tmpl w:val="C13EEF7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3578504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CD"/>
    <w:rsid w:val="00146048"/>
    <w:rsid w:val="006D2E13"/>
    <w:rsid w:val="007875CD"/>
    <w:rsid w:val="00CC48BE"/>
    <w:rsid w:val="00FF37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8AEBB"/>
  <w15:chartTrackingRefBased/>
  <w15:docId w15:val="{F70A367D-096D-491A-8DD3-990F0136B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5CD"/>
    <w:pPr>
      <w:spacing w:after="0" w:line="240" w:lineRule="auto"/>
    </w:pPr>
    <w:rPr>
      <w:rFonts w:ascii="Arial" w:eastAsia="Times New Roman" w:hAnsi="Arial" w:cs="Times New Roman"/>
      <w:kern w:val="0"/>
      <w:sz w:val="22"/>
      <w:szCs w:val="20"/>
    </w:rPr>
  </w:style>
  <w:style w:type="paragraph" w:styleId="Heading1">
    <w:name w:val="heading 1"/>
    <w:basedOn w:val="Normal"/>
    <w:next w:val="Normal"/>
    <w:link w:val="Heading1Char"/>
    <w:uiPriority w:val="9"/>
    <w:qFormat/>
    <w:rsid w:val="007875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7875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75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75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75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75C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75C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75C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75C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5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7875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75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75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75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75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75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75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75CD"/>
    <w:rPr>
      <w:rFonts w:eastAsiaTheme="majorEastAsia" w:cstheme="majorBidi"/>
      <w:color w:val="272727" w:themeColor="text1" w:themeTint="D8"/>
    </w:rPr>
  </w:style>
  <w:style w:type="paragraph" w:styleId="Title">
    <w:name w:val="Title"/>
    <w:basedOn w:val="Normal"/>
    <w:next w:val="Normal"/>
    <w:link w:val="TitleChar"/>
    <w:uiPriority w:val="10"/>
    <w:qFormat/>
    <w:rsid w:val="007875C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75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75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75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75CD"/>
    <w:pPr>
      <w:spacing w:before="160"/>
      <w:jc w:val="center"/>
    </w:pPr>
    <w:rPr>
      <w:i/>
      <w:iCs/>
      <w:color w:val="404040" w:themeColor="text1" w:themeTint="BF"/>
    </w:rPr>
  </w:style>
  <w:style w:type="character" w:customStyle="1" w:styleId="QuoteChar">
    <w:name w:val="Quote Char"/>
    <w:basedOn w:val="DefaultParagraphFont"/>
    <w:link w:val="Quote"/>
    <w:uiPriority w:val="29"/>
    <w:rsid w:val="007875CD"/>
    <w:rPr>
      <w:i/>
      <w:iCs/>
      <w:color w:val="404040" w:themeColor="text1" w:themeTint="BF"/>
    </w:rPr>
  </w:style>
  <w:style w:type="paragraph" w:styleId="ListParagraph">
    <w:name w:val="List Paragraph"/>
    <w:basedOn w:val="Normal"/>
    <w:uiPriority w:val="34"/>
    <w:qFormat/>
    <w:rsid w:val="007875CD"/>
    <w:pPr>
      <w:ind w:left="720"/>
      <w:contextualSpacing/>
    </w:pPr>
  </w:style>
  <w:style w:type="character" w:styleId="IntenseEmphasis">
    <w:name w:val="Intense Emphasis"/>
    <w:basedOn w:val="DefaultParagraphFont"/>
    <w:uiPriority w:val="21"/>
    <w:qFormat/>
    <w:rsid w:val="007875CD"/>
    <w:rPr>
      <w:i/>
      <w:iCs/>
      <w:color w:val="0F4761" w:themeColor="accent1" w:themeShade="BF"/>
    </w:rPr>
  </w:style>
  <w:style w:type="paragraph" w:styleId="IntenseQuote">
    <w:name w:val="Intense Quote"/>
    <w:basedOn w:val="Normal"/>
    <w:next w:val="Normal"/>
    <w:link w:val="IntenseQuoteChar"/>
    <w:uiPriority w:val="30"/>
    <w:qFormat/>
    <w:rsid w:val="007875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75CD"/>
    <w:rPr>
      <w:i/>
      <w:iCs/>
      <w:color w:val="0F4761" w:themeColor="accent1" w:themeShade="BF"/>
    </w:rPr>
  </w:style>
  <w:style w:type="character" w:styleId="IntenseReference">
    <w:name w:val="Intense Reference"/>
    <w:basedOn w:val="DefaultParagraphFont"/>
    <w:uiPriority w:val="32"/>
    <w:qFormat/>
    <w:rsid w:val="007875CD"/>
    <w:rPr>
      <w:b/>
      <w:bCs/>
      <w:smallCaps/>
      <w:color w:val="0F4761" w:themeColor="accent1" w:themeShade="BF"/>
      <w:spacing w:val="5"/>
    </w:rPr>
  </w:style>
  <w:style w:type="paragraph" w:styleId="Footer">
    <w:name w:val="footer"/>
    <w:basedOn w:val="Normal"/>
    <w:link w:val="FooterChar"/>
    <w:uiPriority w:val="99"/>
    <w:rsid w:val="007875CD"/>
    <w:pPr>
      <w:tabs>
        <w:tab w:val="center" w:pos="4153"/>
        <w:tab w:val="right" w:pos="8306"/>
      </w:tabs>
    </w:pPr>
    <w:rPr>
      <w:rFonts w:ascii="Times New Roman" w:hAnsi="Times New Roman"/>
      <w:sz w:val="24"/>
    </w:rPr>
  </w:style>
  <w:style w:type="character" w:customStyle="1" w:styleId="FooterChar">
    <w:name w:val="Footer Char"/>
    <w:basedOn w:val="DefaultParagraphFont"/>
    <w:link w:val="Footer"/>
    <w:uiPriority w:val="99"/>
    <w:rsid w:val="007875CD"/>
    <w:rPr>
      <w:rFonts w:ascii="Times New Roman" w:eastAsia="Times New Roman"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8" ma:contentTypeDescription="Create a new document." ma:contentTypeScope="" ma:versionID="a500fedde8be3580d3f2c5f94fbb5a0e">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6344f7a5cfa7ebb7752fb8aa0a6f9bee"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E7FDF7-25DB-42BB-BBC1-B3EE966B0684}">
  <ds:schemaRefs>
    <ds:schemaRef ds:uri="http://purl.org/dc/elements/1.1/"/>
    <ds:schemaRef ds:uri="b438110d-110e-41a1-956e-a2cebfca6fb3"/>
    <ds:schemaRef ds:uri="http://purl.org/dc/dcmitype/"/>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 ds:uri="http://purl.org/dc/terms/"/>
    <ds:schemaRef ds:uri="5d47b011-0fc7-4e8d-b1b8-76054effab80"/>
    <ds:schemaRef ds:uri="http://schemas.microsoft.com/office/infopath/2007/PartnerControls"/>
  </ds:schemaRefs>
</ds:datastoreItem>
</file>

<file path=customXml/itemProps2.xml><?xml version="1.0" encoding="utf-8"?>
<ds:datastoreItem xmlns:ds="http://schemas.openxmlformats.org/officeDocument/2006/customXml" ds:itemID="{77F1709E-B69C-4F45-8BAA-4EBA60EE9D4E}">
  <ds:schemaRefs>
    <ds:schemaRef ds:uri="http://schemas.microsoft.com/sharepoint/v3/contenttype/forms"/>
  </ds:schemaRefs>
</ds:datastoreItem>
</file>

<file path=customXml/itemProps3.xml><?xml version="1.0" encoding="utf-8"?>
<ds:datastoreItem xmlns:ds="http://schemas.openxmlformats.org/officeDocument/2006/customXml" ds:itemID="{854765C6-91FA-4B87-844F-DFE3F00C7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1295</Words>
  <Characters>7386</Characters>
  <Application>Microsoft Office Word</Application>
  <DocSecurity>0</DocSecurity>
  <Lines>61</Lines>
  <Paragraphs>17</Paragraphs>
  <ScaleCrop>false</ScaleCrop>
  <Company/>
  <LinksUpToDate>false</LinksUpToDate>
  <CharactersWithSpaces>8664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2025-01-08T16:21:00Z</dcterms:created>
  <dcterms:modified xsi:type="dcterms:W3CDTF">2025-01-08T16:21:00Z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